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pacing w:line="600" w:lineRule="exact"/>
        <w:jc w:val="left"/>
        <w:rPr>
          <w:rFonts w:ascii="黑体" w:hAnsi="黑体" w:eastAsia="黑体" w:cs="黑体"/>
          <w:sz w:val="32"/>
          <w:szCs w:val="30"/>
        </w:rPr>
      </w:pPr>
      <w:r>
        <w:rPr>
          <w:rFonts w:ascii="黑体" w:hAnsi="黑体" w:eastAsia="黑体" w:cs="黑体"/>
          <w:sz w:val="32"/>
          <w:szCs w:val="30"/>
        </w:rPr>
        <w:t>附件10</w:t>
      </w:r>
    </w:p>
    <w:p>
      <w:pPr>
        <w:pStyle w:val="12"/>
        <w:spacing w:line="600" w:lineRule="exact"/>
        <w:jc w:val="left"/>
        <w:rPr>
          <w:rFonts w:ascii="方正小标宋简体" w:hAnsi="方正小标宋简体" w:eastAsia="方正小标宋简体" w:cs="方正小标宋简体"/>
          <w:sz w:val="32"/>
          <w:szCs w:val="30"/>
        </w:rPr>
      </w:pPr>
    </w:p>
    <w:p>
      <w:pPr>
        <w:pStyle w:val="2"/>
        <w:spacing w:line="600" w:lineRule="exact"/>
        <w:ind w:firstLine="880"/>
        <w:rPr>
          <w:rFonts w:ascii="方正小标宋简体" w:hAnsi="方正小标宋简体" w:eastAsia="方正小标宋简体" w:cs="方正小标宋简体"/>
        </w:rPr>
      </w:pPr>
      <w:r>
        <w:rPr>
          <w:rFonts w:hint="eastAsia" w:ascii="方正小标宋简体" w:hAnsi="方正小标宋简体" w:eastAsia="方正小标宋简体" w:cs="方正小标宋简体"/>
        </w:rPr>
        <w:t>中央交易对手风险暴露资本计量规则</w:t>
      </w:r>
    </w:p>
    <w:p>
      <w:pPr>
        <w:kinsoku w:val="0"/>
        <w:overflowPunct w:val="0"/>
        <w:spacing w:line="600" w:lineRule="exact"/>
        <w:ind w:left="1584"/>
        <w:rPr>
          <w:rFonts w:ascii="方正小标宋简体" w:hAnsi="方正小标宋简体" w:eastAsia="方正小标宋简体" w:cs="方正小标宋简体"/>
          <w:sz w:val="36"/>
        </w:rPr>
      </w:pPr>
    </w:p>
    <w:p>
      <w:pPr>
        <w:pStyle w:val="3"/>
      </w:pPr>
      <w:r>
        <w:rPr>
          <w:rFonts w:hint="eastAsia"/>
        </w:rPr>
        <w:t>一、总体要求</w:t>
      </w:r>
    </w:p>
    <w:p>
      <w:pPr>
        <w:autoSpaceDE/>
        <w:autoSpaceDN/>
        <w:adjustRightInd/>
        <w:spacing w:line="480" w:lineRule="exact"/>
        <w:ind w:firstLine="600" w:firstLineChars="200"/>
        <w:jc w:val="both"/>
        <w:rPr>
          <w:rFonts w:ascii="仿宋_GB2312" w:eastAsia="仿宋_GB2312"/>
          <w:kern w:val="2"/>
          <w:sz w:val="30"/>
          <w:szCs w:val="30"/>
        </w:rPr>
      </w:pPr>
      <w:r>
        <w:rPr>
          <w:rFonts w:hint="eastAsia" w:ascii="仿宋_GB2312" w:eastAsia="仿宋_GB2312"/>
          <w:kern w:val="2"/>
          <w:sz w:val="30"/>
          <w:szCs w:val="30"/>
        </w:rPr>
        <w:t>（一）中央交易对手是指清算过程中以原始市场参与者的法定对手方身份介入交易清算，充当原买方的卖方和原卖方的买方，并保证交易得以执行的实体，其核心功能是合约更替和担保交收。在资本监管框架下中央交易对手视同为金融机构。</w:t>
      </w:r>
    </w:p>
    <w:p>
      <w:pPr>
        <w:autoSpaceDE/>
        <w:autoSpaceDN/>
        <w:adjustRightInd/>
        <w:spacing w:line="480" w:lineRule="exact"/>
        <w:ind w:firstLine="600" w:firstLineChars="200"/>
        <w:jc w:val="both"/>
        <w:rPr>
          <w:rFonts w:ascii="仿宋_GB2312" w:eastAsia="仿宋_GB2312"/>
          <w:kern w:val="2"/>
          <w:sz w:val="30"/>
          <w:szCs w:val="30"/>
        </w:rPr>
      </w:pPr>
      <w:r>
        <w:rPr>
          <w:rFonts w:hint="eastAsia" w:ascii="仿宋_GB2312" w:eastAsia="仿宋_GB2312"/>
          <w:kern w:val="2"/>
          <w:sz w:val="30"/>
          <w:szCs w:val="30"/>
        </w:rPr>
        <w:t>（二）商业银行应计量银行账簿和交易账簿中中央交易对手风险暴露的风险加权资产，涉及的业务包括衍生工具和证券融资交易，其中衍生工具和证券融资交易范围与本办法附件9第一部分相关定义保持一致。中央交易对手信用风险加权资产为交易风险暴露与违约基金风险暴露的风险加权资产之和。</w:t>
      </w:r>
    </w:p>
    <w:p>
      <w:pPr>
        <w:autoSpaceDE/>
        <w:autoSpaceDN/>
        <w:adjustRightInd/>
        <w:spacing w:line="480" w:lineRule="exact"/>
        <w:ind w:firstLine="600" w:firstLineChars="200"/>
        <w:jc w:val="both"/>
        <w:rPr>
          <w:rFonts w:ascii="仿宋_GB2312" w:eastAsia="仿宋_GB2312"/>
          <w:kern w:val="2"/>
          <w:sz w:val="30"/>
          <w:szCs w:val="30"/>
        </w:rPr>
      </w:pPr>
      <w:r>
        <w:rPr>
          <w:rFonts w:hint="eastAsia" w:ascii="仿宋_GB2312" w:eastAsia="仿宋_GB2312"/>
          <w:kern w:val="2"/>
          <w:sz w:val="30"/>
          <w:szCs w:val="30"/>
        </w:rPr>
        <w:t>（三）中央交易对手分为合格中央交易对手与不合格中央交易对手。商业银行对合格中央交易对手和不合格中央交易对手的交易对手风险暴露计量规则分别见本附件第二部分和第四部分。如果某合格中央交易对手不再满足合格标准，除国家金融监督管理总局另行规定，3个月内，商业银行可按照合格中央交易对手的规则计量风险加权资产；3个月后，商业银行应按照不合格中央交易对手的规则计量风险加权资产。通过合格中央交易对手进行集中清算的衍生工具和证券融资交易可按净额计量交易对手交易风险暴露。</w:t>
      </w:r>
    </w:p>
    <w:p>
      <w:pPr>
        <w:autoSpaceDE/>
        <w:autoSpaceDN/>
        <w:adjustRightInd/>
        <w:spacing w:line="480" w:lineRule="exact"/>
        <w:ind w:firstLine="600" w:firstLineChars="200"/>
        <w:jc w:val="both"/>
        <w:rPr>
          <w:rFonts w:ascii="仿宋_GB2312" w:eastAsia="仿宋_GB2312"/>
          <w:kern w:val="2"/>
          <w:sz w:val="30"/>
          <w:szCs w:val="30"/>
        </w:rPr>
      </w:pPr>
      <w:r>
        <w:rPr>
          <w:rFonts w:hint="eastAsia" w:ascii="仿宋_GB2312" w:eastAsia="仿宋_GB2312"/>
          <w:kern w:val="2"/>
          <w:sz w:val="30"/>
          <w:szCs w:val="30"/>
        </w:rPr>
        <w:t>（四）商业银行应确保持有足够的资本覆盖与中央交易对手相关的风险。商业银行应监测并定期向高级管理层和董事会报告与中央交易对手相关的各类风险。如果商业银行是中央交易对手的清算会员，应通过情景分析和压力测试评估资本对中央交易对手风险的覆盖程度。</w:t>
      </w:r>
    </w:p>
    <w:p>
      <w:pPr>
        <w:autoSpaceDE/>
        <w:autoSpaceDN/>
        <w:adjustRightInd/>
        <w:spacing w:line="480" w:lineRule="exact"/>
        <w:ind w:firstLine="600" w:firstLineChars="200"/>
        <w:jc w:val="both"/>
        <w:rPr>
          <w:rFonts w:ascii="仿宋_GB2312" w:eastAsia="仿宋_GB2312"/>
          <w:kern w:val="2"/>
          <w:sz w:val="30"/>
          <w:szCs w:val="30"/>
        </w:rPr>
      </w:pPr>
      <w:r>
        <w:rPr>
          <w:rFonts w:hint="eastAsia" w:ascii="仿宋_GB2312" w:eastAsia="仿宋_GB2312"/>
          <w:kern w:val="2"/>
          <w:sz w:val="30"/>
          <w:szCs w:val="30"/>
        </w:rPr>
        <w:t>（五）商业银行对中央交易对手风险暴露不纳入内部评级法覆盖范围。</w:t>
      </w:r>
    </w:p>
    <w:p>
      <w:pPr>
        <w:pStyle w:val="3"/>
      </w:pPr>
      <w:r>
        <w:rPr>
          <w:rFonts w:hint="eastAsia"/>
        </w:rPr>
        <w:t>二、对合格中央交易对手风险暴露的风险加权资产计量</w:t>
      </w:r>
    </w:p>
    <w:p>
      <w:pPr>
        <w:autoSpaceDE/>
        <w:autoSpaceDN/>
        <w:adjustRightInd/>
        <w:spacing w:line="480" w:lineRule="exact"/>
        <w:ind w:firstLine="600" w:firstLineChars="200"/>
        <w:jc w:val="both"/>
        <w:rPr>
          <w:rFonts w:ascii="楷体_GB2312" w:eastAsia="楷体_GB2312"/>
          <w:kern w:val="2"/>
          <w:sz w:val="30"/>
          <w:szCs w:val="30"/>
        </w:rPr>
      </w:pPr>
      <w:r>
        <w:rPr>
          <w:rFonts w:hint="eastAsia" w:ascii="楷体_GB2312" w:eastAsia="楷体_GB2312"/>
          <w:kern w:val="2"/>
          <w:sz w:val="30"/>
          <w:szCs w:val="30"/>
        </w:rPr>
        <w:t>（一）交易风险暴露</w:t>
      </w:r>
    </w:p>
    <w:p>
      <w:pPr>
        <w:autoSpaceDE/>
        <w:autoSpaceDN/>
        <w:adjustRightInd/>
        <w:spacing w:line="480" w:lineRule="exact"/>
        <w:ind w:firstLine="600" w:firstLineChars="200"/>
        <w:jc w:val="both"/>
        <w:rPr>
          <w:rFonts w:ascii="仿宋_GB2312" w:eastAsia="仿宋_GB2312"/>
          <w:kern w:val="2"/>
          <w:sz w:val="30"/>
          <w:szCs w:val="30"/>
        </w:rPr>
      </w:pPr>
      <w:r>
        <w:rPr>
          <w:rFonts w:hint="eastAsia" w:ascii="仿宋_GB2312" w:eastAsia="仿宋_GB2312"/>
          <w:kern w:val="2"/>
          <w:sz w:val="30"/>
          <w:szCs w:val="30"/>
        </w:rPr>
        <w:t>1.作为中央交易对手的清算会员：对中央交易对手风险暴露。</w:t>
      </w:r>
    </w:p>
    <w:p>
      <w:pPr>
        <w:autoSpaceDE/>
        <w:autoSpaceDN/>
        <w:adjustRightInd/>
        <w:spacing w:line="480" w:lineRule="exact"/>
        <w:ind w:firstLine="600" w:firstLineChars="200"/>
        <w:jc w:val="both"/>
        <w:rPr>
          <w:rFonts w:ascii="仿宋_GB2312" w:eastAsia="仿宋_GB2312"/>
          <w:kern w:val="2"/>
          <w:sz w:val="30"/>
          <w:szCs w:val="30"/>
        </w:rPr>
      </w:pPr>
      <w:r>
        <w:rPr>
          <w:rFonts w:hint="eastAsia" w:ascii="仿宋_GB2312" w:eastAsia="仿宋_GB2312"/>
          <w:kern w:val="2"/>
          <w:sz w:val="30"/>
          <w:szCs w:val="30"/>
        </w:rPr>
        <w:t>商业银行作为中央交易对手的清算会员，如果为自身提供清算，与中央交易对手交易风险暴露的风险权重为2%；如果商业银行为客户提供清算服务，且中央交易对手违约导致客户损失时需弥补客户损失，商业银行对该中央交易对手交易风险暴露的风险权重也为2%。商业银行应按照本办法附件9计量衍生工具和证券融资交易风险缓释后的交易风险暴露。商业银行采用违约风险暴露标准法（SA-CCR）时，应使用至少10天的保证金风险期间。</w:t>
      </w:r>
    </w:p>
    <w:p>
      <w:pPr>
        <w:autoSpaceDE/>
        <w:autoSpaceDN/>
        <w:adjustRightInd/>
        <w:spacing w:line="480" w:lineRule="exact"/>
        <w:ind w:firstLine="600" w:firstLineChars="200"/>
        <w:jc w:val="both"/>
        <w:rPr>
          <w:rFonts w:ascii="仿宋_GB2312" w:eastAsia="仿宋_GB2312"/>
          <w:kern w:val="2"/>
          <w:sz w:val="30"/>
          <w:szCs w:val="30"/>
        </w:rPr>
      </w:pPr>
      <w:r>
        <w:rPr>
          <w:rFonts w:hint="eastAsia" w:ascii="仿宋_GB2312" w:eastAsia="仿宋_GB2312"/>
          <w:kern w:val="2"/>
          <w:sz w:val="30"/>
          <w:szCs w:val="30"/>
        </w:rPr>
        <w:t>2.作为中央交易对手的清算会员：对客户风险暴露</w:t>
      </w:r>
    </w:p>
    <w:p>
      <w:pPr>
        <w:autoSpaceDE/>
        <w:autoSpaceDN/>
        <w:adjustRightInd/>
        <w:spacing w:line="480" w:lineRule="exact"/>
        <w:ind w:firstLine="600" w:firstLineChars="200"/>
        <w:jc w:val="both"/>
        <w:rPr>
          <w:rFonts w:ascii="仿宋_GB2312" w:eastAsia="仿宋_GB2312"/>
          <w:kern w:val="2"/>
          <w:sz w:val="30"/>
          <w:szCs w:val="30"/>
        </w:rPr>
      </w:pPr>
      <w:r>
        <w:rPr>
          <w:rFonts w:hint="eastAsia" w:ascii="仿宋_GB2312" w:eastAsia="仿宋_GB2312"/>
          <w:kern w:val="2"/>
          <w:sz w:val="30"/>
          <w:szCs w:val="30"/>
        </w:rPr>
        <w:t>商业银行作为中央交易对手的清算会员，不论商业银行为该交易提供保证，还是仅作为客户与中央交易对手之间的中介，均应按照双边交易对客户风险暴露（包括潜在的信用估值调整风险暴露）计提资本。鉴于商业银行提供清算服务的交易能够在较短时间内平仓，商业银行采用现期风险暴露法时，可对客户风险暴露乘以不低于0.71的系数（若保证金风险期间为5天，则系数为0.71；若保证金风险期间为6、7、8、9或10天，则系数分别为0.77、0.84、0.89、0.95或1）；商业银行采用违约风险暴露标准法（SA-CCR）时，应使用至少5天的保证金风险期间。</w:t>
      </w:r>
    </w:p>
    <w:p>
      <w:pPr>
        <w:autoSpaceDE/>
        <w:autoSpaceDN/>
        <w:adjustRightInd/>
        <w:spacing w:line="480" w:lineRule="exact"/>
        <w:ind w:firstLine="600" w:firstLineChars="200"/>
        <w:jc w:val="both"/>
        <w:rPr>
          <w:rFonts w:ascii="仿宋_GB2312" w:eastAsia="仿宋_GB2312"/>
          <w:kern w:val="2"/>
          <w:sz w:val="30"/>
          <w:szCs w:val="30"/>
        </w:rPr>
      </w:pPr>
      <w:r>
        <w:rPr>
          <w:rFonts w:hint="eastAsia" w:ascii="仿宋_GB2312" w:eastAsia="仿宋_GB2312"/>
          <w:kern w:val="2"/>
          <w:sz w:val="30"/>
          <w:szCs w:val="30"/>
        </w:rPr>
        <w:t>3.作为客户：对清算会员和中央交易对手风险暴露</w:t>
      </w:r>
    </w:p>
    <w:p>
      <w:pPr>
        <w:autoSpaceDE/>
        <w:autoSpaceDN/>
        <w:adjustRightInd/>
        <w:spacing w:line="480" w:lineRule="exact"/>
        <w:ind w:firstLine="600" w:firstLineChars="200"/>
        <w:jc w:val="both"/>
        <w:rPr>
          <w:rFonts w:ascii="仿宋_GB2312" w:eastAsia="仿宋_GB2312"/>
          <w:kern w:val="2"/>
          <w:sz w:val="30"/>
          <w:szCs w:val="30"/>
        </w:rPr>
      </w:pPr>
      <w:r>
        <w:rPr>
          <w:rFonts w:hint="eastAsia" w:ascii="仿宋_GB2312" w:eastAsia="仿宋_GB2312"/>
          <w:kern w:val="2"/>
          <w:sz w:val="30"/>
          <w:szCs w:val="30"/>
        </w:rPr>
        <w:t>（1）商业银行作为中央交易对手清算会员的客户，在该交易中清算会员充当商业银行与中央交易对手之间的中介，并与中央交易对手开展抵消交易，商业银行对该清算会员风险暴露的风险权重为2%；如果商业银行与中央交易对手直接交易，该清算会员提供保证，商业银行对中央交易对手风险暴露的风险权重为2%；多层级客户结构中，较低层级客户对较高层级客户风险暴露的风险权重也为2%。上述三种情形下采用2%的风险权重应满足以下两个条件：</w:t>
      </w:r>
    </w:p>
    <w:p>
      <w:pPr>
        <w:autoSpaceDE/>
        <w:autoSpaceDN/>
        <w:adjustRightInd/>
        <w:spacing w:line="480" w:lineRule="exact"/>
        <w:ind w:firstLine="600" w:firstLineChars="200"/>
        <w:jc w:val="both"/>
        <w:rPr>
          <w:rFonts w:ascii="仿宋_GB2312" w:eastAsia="仿宋_GB2312"/>
          <w:kern w:val="2"/>
          <w:sz w:val="30"/>
          <w:szCs w:val="30"/>
        </w:rPr>
      </w:pPr>
      <w:r>
        <w:rPr>
          <w:rFonts w:hint="eastAsia" w:ascii="仿宋_GB2312" w:eastAsia="仿宋_GB2312"/>
          <w:kern w:val="2"/>
          <w:sz w:val="30"/>
          <w:szCs w:val="30"/>
        </w:rPr>
        <w:t>a.中央交易对手将抵消交易识别为客户交易，并持有相应的抵质押品，且清算会员具备相应制度安排，确保在清算会员违约或破产、清算会员的其他客户违约或破产、清算会员及其他客户同时违约或破产等三种情形下，清算会员都能防止该客户遭受损失。商业银行应具备独立的法律意见书，证明在上述三种情形下，都将受到相关法律保护而不会遭受损失。</w:t>
      </w:r>
    </w:p>
    <w:p>
      <w:pPr>
        <w:autoSpaceDE/>
        <w:autoSpaceDN/>
        <w:adjustRightInd/>
        <w:spacing w:line="480" w:lineRule="exact"/>
        <w:ind w:firstLine="600" w:firstLineChars="200"/>
        <w:jc w:val="both"/>
        <w:rPr>
          <w:rFonts w:ascii="仿宋_GB2312" w:eastAsia="仿宋_GB2312"/>
          <w:kern w:val="2"/>
          <w:sz w:val="30"/>
          <w:szCs w:val="30"/>
        </w:rPr>
      </w:pPr>
      <w:r>
        <w:rPr>
          <w:rFonts w:hint="eastAsia" w:ascii="仿宋_GB2312" w:eastAsia="仿宋_GB2312"/>
          <w:kern w:val="2"/>
          <w:sz w:val="30"/>
          <w:szCs w:val="30"/>
        </w:rPr>
        <w:t>b.相关的法律、制度、规则、合同或监管安排能够保证，若清算会员违约或破产，与该清算会员的抵消交易将非常有可能通过中央交易对手或被中央交易对手间接执行。</w:t>
      </w:r>
    </w:p>
    <w:p>
      <w:pPr>
        <w:autoSpaceDE/>
        <w:autoSpaceDN/>
        <w:adjustRightInd/>
        <w:spacing w:line="480" w:lineRule="exact"/>
        <w:ind w:firstLine="600" w:firstLineChars="200"/>
        <w:jc w:val="both"/>
        <w:rPr>
          <w:rFonts w:ascii="仿宋_GB2312" w:eastAsia="仿宋_GB2312"/>
          <w:kern w:val="2"/>
          <w:sz w:val="30"/>
          <w:szCs w:val="30"/>
        </w:rPr>
      </w:pPr>
      <w:r>
        <w:rPr>
          <w:rFonts w:hint="eastAsia" w:ascii="仿宋_GB2312" w:eastAsia="仿宋_GB2312"/>
          <w:kern w:val="2"/>
          <w:sz w:val="30"/>
          <w:szCs w:val="30"/>
        </w:rPr>
        <w:t>（2）如果在清算会员和清算会员的其他客户同时违约或破产时，不能保证作为客户的商业银行免受损失，但上述两个条件中其它条件都满足的情形下，客户对该清算会员风险暴露或客户对较高层级客户风险暴露的风险权重为4%。</w:t>
      </w:r>
    </w:p>
    <w:p>
      <w:pPr>
        <w:autoSpaceDE/>
        <w:autoSpaceDN/>
        <w:adjustRightInd/>
        <w:spacing w:line="480" w:lineRule="exact"/>
        <w:ind w:firstLine="600" w:firstLineChars="200"/>
        <w:jc w:val="both"/>
        <w:rPr>
          <w:rFonts w:ascii="仿宋_GB2312" w:eastAsia="仿宋_GB2312"/>
          <w:kern w:val="2"/>
          <w:sz w:val="30"/>
          <w:szCs w:val="30"/>
        </w:rPr>
      </w:pPr>
      <w:r>
        <w:rPr>
          <w:rFonts w:hint="eastAsia" w:ascii="仿宋_GB2312" w:eastAsia="仿宋_GB2312"/>
          <w:kern w:val="2"/>
          <w:sz w:val="30"/>
          <w:szCs w:val="30"/>
        </w:rPr>
        <w:t>（3）若不满足上述情形，商业银行作为清算会员的客户，应按照双边交易计量对该清算会员风险暴露（包括潜在的信用估值调整风险暴露）风险加权资产。</w:t>
      </w:r>
    </w:p>
    <w:p>
      <w:pPr>
        <w:autoSpaceDE/>
        <w:autoSpaceDN/>
        <w:adjustRightInd/>
        <w:spacing w:line="480" w:lineRule="exact"/>
        <w:ind w:firstLine="600" w:firstLineChars="200"/>
        <w:jc w:val="both"/>
        <w:rPr>
          <w:rFonts w:ascii="仿宋_GB2312" w:eastAsia="仿宋_GB2312"/>
          <w:kern w:val="2"/>
          <w:sz w:val="30"/>
          <w:szCs w:val="30"/>
        </w:rPr>
      </w:pPr>
      <w:r>
        <w:rPr>
          <w:rFonts w:hint="eastAsia" w:ascii="仿宋_GB2312" w:eastAsia="仿宋_GB2312"/>
          <w:kern w:val="2"/>
          <w:sz w:val="30"/>
          <w:szCs w:val="30"/>
        </w:rPr>
        <w:t>4.抵质押品的处理</w:t>
      </w:r>
    </w:p>
    <w:p>
      <w:pPr>
        <w:autoSpaceDE/>
        <w:autoSpaceDN/>
        <w:adjustRightInd/>
        <w:spacing w:line="480" w:lineRule="exact"/>
        <w:ind w:firstLine="600" w:firstLineChars="200"/>
        <w:jc w:val="both"/>
        <w:rPr>
          <w:rFonts w:ascii="仿宋_GB2312" w:eastAsia="仿宋_GB2312"/>
          <w:kern w:val="2"/>
          <w:sz w:val="30"/>
          <w:szCs w:val="30"/>
        </w:rPr>
      </w:pPr>
      <w:r>
        <w:rPr>
          <w:rFonts w:hint="eastAsia" w:ascii="仿宋_GB2312" w:eastAsia="仿宋_GB2312"/>
          <w:kern w:val="2"/>
          <w:sz w:val="30"/>
          <w:szCs w:val="30"/>
        </w:rPr>
        <w:t>不论商业银行提交的资产是否作为抵质押品，均应对其计提资本。如果商业银行作为清算会员或客户，其资产或抵质押品提交给中央交易对手或另一家清算会员，且无法实现破产隔离，应按照资产或抵质押品持有主体确定风险权重（如果持有主体为中央交易对手，风险权重为2%），进而计量交易对手信用风险资本要求；如果抵质押品由托管人保管且以破产隔离方式持有，无需对该抵质押品计提交易对手信用风险资本要求。若中央交易对手代表客户持有抵质押品且无法实现破产隔离，但满足本部分3（1）条件的，该抵质押品风险权重为2%；满足3（2）条件的，该抵质押品风险权重为4%。</w:t>
      </w:r>
    </w:p>
    <w:p>
      <w:pPr>
        <w:autoSpaceDE/>
        <w:autoSpaceDN/>
        <w:adjustRightInd/>
        <w:spacing w:line="480" w:lineRule="exact"/>
        <w:ind w:firstLine="600" w:firstLineChars="200"/>
        <w:jc w:val="both"/>
        <w:rPr>
          <w:rFonts w:ascii="仿宋_GB2312" w:eastAsia="仿宋_GB2312"/>
          <w:kern w:val="2"/>
          <w:sz w:val="30"/>
          <w:szCs w:val="30"/>
        </w:rPr>
      </w:pPr>
      <w:r>
        <w:rPr>
          <w:rFonts w:hint="eastAsia" w:ascii="仿宋_GB2312" w:eastAsia="仿宋_GB2312"/>
          <w:kern w:val="2"/>
          <w:sz w:val="30"/>
          <w:szCs w:val="30"/>
        </w:rPr>
        <w:t>以破产隔离方式持有是指：当交易对手破产或无力偿还债务时，抵质押物可以免于被强制执行或被法院禁止返还，抵押/出质人可收回抵质押物。以破产隔离方式持有的抵质押物应由独立账户托管。</w:t>
      </w:r>
    </w:p>
    <w:p>
      <w:pPr>
        <w:autoSpaceDE/>
        <w:autoSpaceDN/>
        <w:adjustRightInd/>
        <w:spacing w:line="480" w:lineRule="exact"/>
        <w:ind w:firstLine="600" w:firstLineChars="200"/>
        <w:jc w:val="both"/>
        <w:rPr>
          <w:rFonts w:ascii="楷体_GB2312" w:eastAsia="楷体_GB2312"/>
          <w:kern w:val="2"/>
          <w:sz w:val="30"/>
          <w:szCs w:val="30"/>
        </w:rPr>
      </w:pPr>
      <w:r>
        <w:rPr>
          <w:rFonts w:hint="eastAsia" w:ascii="楷体_GB2312" w:eastAsia="楷体_GB2312"/>
          <w:kern w:val="2"/>
          <w:sz w:val="30"/>
          <w:szCs w:val="30"/>
        </w:rPr>
        <w:t>（二）违约基金风险暴露</w:t>
      </w:r>
    </w:p>
    <w:p>
      <w:pPr>
        <w:autoSpaceDE/>
        <w:autoSpaceDN/>
        <w:adjustRightInd/>
        <w:spacing w:line="480" w:lineRule="exact"/>
        <w:ind w:firstLine="600" w:firstLineChars="200"/>
        <w:jc w:val="both"/>
        <w:rPr>
          <w:rFonts w:ascii="仿宋_GB2312" w:eastAsia="仿宋_GB2312"/>
          <w:kern w:val="2"/>
          <w:sz w:val="30"/>
          <w:szCs w:val="30"/>
        </w:rPr>
      </w:pPr>
      <w:r>
        <w:rPr>
          <w:rFonts w:hint="eastAsia" w:ascii="仿宋_GB2312" w:eastAsia="仿宋_GB2312"/>
          <w:kern w:val="2"/>
          <w:sz w:val="30"/>
          <w:szCs w:val="30"/>
        </w:rPr>
        <w:t>违约基金可由仅具有结算风险的产品或业务类型（如股票和债券）与产生交易对手信用风险的产品或业务类型（如衍生工具和证券融资交易）之间共享。如果清算会员缴纳的违约基金已按产品类型隔离，则应分类计量。如果中央交易对手的预缴资源可在产品类型之间共享，则应根据产品的违约风险暴露比例对预缴资源进行分配。清算会员在确定违约基金风险权重时，应考虑如下因素：中央交易对手财务资源的规模和质量；中央交易对手的交易对手信用风险暴露；当一个或多个清算会员违约时，中央交易对手的违约处置流程。违约基金的资本计提要求应分两步计算：</w:t>
      </w:r>
    </w:p>
    <w:p>
      <w:pPr>
        <w:autoSpaceDE/>
        <w:autoSpaceDN/>
        <w:adjustRightInd/>
        <w:spacing w:line="480" w:lineRule="exact"/>
        <w:ind w:firstLine="600" w:firstLineChars="200"/>
        <w:jc w:val="both"/>
        <w:rPr>
          <w:rFonts w:ascii="仿宋_GB2312" w:eastAsia="仿宋_GB2312"/>
          <w:kern w:val="2"/>
          <w:sz w:val="30"/>
          <w:szCs w:val="30"/>
        </w:rPr>
      </w:pPr>
      <w:r>
        <w:rPr>
          <w:rFonts w:hint="eastAsia" w:ascii="仿宋_GB2312" w:eastAsia="仿宋_GB2312"/>
          <w:kern w:val="2"/>
          <w:sz w:val="30"/>
          <w:szCs w:val="30"/>
        </w:rPr>
        <w:t>1.计量中央交易对手对所有清算会员及其客户的交易对手信用风险暴露应计提的虚拟资本要求。公式如下：</w:t>
      </w:r>
    </w:p>
    <w:p>
      <w:pPr>
        <w:autoSpaceDE/>
        <w:autoSpaceDN/>
        <w:adjustRightInd/>
        <w:spacing w:before="163" w:beforeLines="50"/>
        <w:jc w:val="center"/>
        <w:rPr>
          <w:rFonts w:ascii="Calibri" w:hAnsi="Calibri"/>
          <w:kern w:val="2"/>
          <w:position w:val="-32"/>
          <w:sz w:val="30"/>
          <w:szCs w:val="30"/>
        </w:rPr>
      </w:pPr>
      <w:r>
        <w:rPr>
          <w:rFonts w:ascii="Calibri" w:hAnsi="Calibri"/>
          <w:kern w:val="2"/>
          <w:position w:val="-32"/>
          <w:sz w:val="30"/>
          <w:szCs w:val="30"/>
        </w:rPr>
        <w:object>
          <v:shape id="_x0000_i1025" o:spt="75" type="#_x0000_t75" style="height:29.35pt;width:170.65pt;" o:ole="t" filled="f" o:preferrelative="t" stroked="f" coordsize="21600,21600">
            <v:path/>
            <v:fill on="f" focussize="0,0"/>
            <v:stroke on="f" joinstyle="miter"/>
            <v:imagedata r:id="rId6" o:title=""/>
            <o:lock v:ext="edit" aspectratio="t"/>
            <w10:wrap type="none"/>
            <w10:anchorlock/>
          </v:shape>
          <o:OLEObject Type="Embed" ProgID="Equation.3" ShapeID="_x0000_i1025" DrawAspect="Content" ObjectID="_1468075725" r:id="rId5">
            <o:LockedField>false</o:LockedField>
          </o:OLEObject>
        </w:object>
      </w:r>
    </w:p>
    <w:p>
      <w:pPr>
        <w:autoSpaceDE/>
        <w:autoSpaceDN/>
        <w:adjustRightInd/>
        <w:spacing w:line="480" w:lineRule="exact"/>
        <w:ind w:firstLine="600" w:firstLineChars="200"/>
        <w:jc w:val="both"/>
        <w:rPr>
          <w:rFonts w:ascii="仿宋_GB2312" w:eastAsia="仿宋_GB2312"/>
          <w:kern w:val="2"/>
          <w:sz w:val="30"/>
          <w:szCs w:val="30"/>
        </w:rPr>
      </w:pPr>
      <w:r>
        <w:rPr>
          <w:rFonts w:hint="eastAsia" w:ascii="仿宋_GB2312" w:eastAsia="仿宋_GB2312"/>
          <w:kern w:val="2"/>
          <w:sz w:val="30"/>
          <w:szCs w:val="30"/>
        </w:rPr>
        <w:t>其中，</w:t>
      </w:r>
    </w:p>
    <w:p>
      <w:pPr>
        <w:autoSpaceDE/>
        <w:autoSpaceDN/>
        <w:adjustRightInd/>
        <w:spacing w:line="480" w:lineRule="exact"/>
        <w:ind w:firstLine="600" w:firstLineChars="200"/>
        <w:jc w:val="both"/>
        <w:rPr>
          <w:rFonts w:ascii="仿宋_GB2312" w:eastAsia="仿宋_GB2312"/>
          <w:kern w:val="2"/>
          <w:sz w:val="30"/>
          <w:szCs w:val="30"/>
        </w:rPr>
      </w:pPr>
      <w:r>
        <w:rPr>
          <w:rFonts w:hint="eastAsia" w:ascii="仿宋_GB2312" w:eastAsia="仿宋_GB2312"/>
          <w:kern w:val="2"/>
          <w:sz w:val="30"/>
          <w:szCs w:val="30"/>
        </w:rPr>
        <w:t>RW（风险权重）为20%；</w:t>
      </w:r>
    </w:p>
    <w:p>
      <w:pPr>
        <w:autoSpaceDE/>
        <w:autoSpaceDN/>
        <w:adjustRightInd/>
        <w:spacing w:line="480" w:lineRule="exact"/>
        <w:ind w:firstLine="600" w:firstLineChars="200"/>
        <w:jc w:val="both"/>
        <w:rPr>
          <w:rFonts w:ascii="仿宋_GB2312" w:eastAsia="仿宋_GB2312"/>
          <w:kern w:val="2"/>
          <w:sz w:val="30"/>
          <w:szCs w:val="30"/>
        </w:rPr>
      </w:pPr>
      <w:r>
        <w:rPr>
          <w:rFonts w:hint="eastAsia" w:ascii="仿宋_GB2312" w:eastAsia="仿宋_GB2312"/>
          <w:kern w:val="2"/>
          <w:sz w:val="30"/>
          <w:szCs w:val="30"/>
        </w:rPr>
        <w:t>Capital ratio（资本比例）为8%；</w:t>
      </w:r>
    </w:p>
    <w:p>
      <w:pPr>
        <w:autoSpaceDE/>
        <w:autoSpaceDN/>
        <w:adjustRightInd/>
        <w:spacing w:line="480" w:lineRule="exact"/>
        <w:ind w:firstLine="604" w:firstLineChars="200"/>
        <w:jc w:val="both"/>
        <w:rPr>
          <w:rFonts w:ascii="仿宋_GB2312" w:eastAsia="仿宋_GB2312"/>
          <w:kern w:val="2"/>
          <w:sz w:val="30"/>
          <w:szCs w:val="30"/>
        </w:rPr>
      </w:pPr>
      <w:r>
        <w:rPr>
          <w:spacing w:val="1"/>
          <w:position w:val="-12"/>
          <w:sz w:val="30"/>
          <w:szCs w:val="30"/>
        </w:rPr>
        <w:object>
          <v:shape id="_x0000_i1026" o:spt="75" type="#_x0000_t75" style="height:21.35pt;width:29.35pt;" o:ole="t" filled="f" o:preferrelative="t" stroked="f" coordsize="21600,21600">
            <v:path/>
            <v:fill on="f" focussize="0,0"/>
            <v:stroke on="f" joinstyle="miter"/>
            <v:imagedata r:id="rId8" o:title=""/>
            <o:lock v:ext="edit" aspectratio="t"/>
            <w10:wrap type="none"/>
            <w10:anchorlock/>
          </v:shape>
          <o:OLEObject Type="Embed" ProgID="Equation.3" ShapeID="_x0000_i1026" DrawAspect="Content" ObjectID="_1468075726" r:id="rId7">
            <o:LockedField>false</o:LockedField>
          </o:OLEObject>
        </w:object>
      </w:r>
      <w:r>
        <w:rPr>
          <w:rFonts w:hint="eastAsia" w:ascii="仿宋_GB2312" w:eastAsia="仿宋_GB2312"/>
          <w:kern w:val="2"/>
          <w:sz w:val="30"/>
          <w:szCs w:val="30"/>
        </w:rPr>
        <w:t>是中央交易对手对清算会员i的风险暴露，该暴露按照监管报告日日终变动保证金完成追加前的数额进行计量。该风险暴露包括两部分：（</w:t>
      </w:r>
      <w:r>
        <w:rPr>
          <w:rFonts w:ascii="仿宋_GB2312" w:eastAsia="仿宋_GB2312"/>
          <w:kern w:val="2"/>
          <w:sz w:val="30"/>
          <w:szCs w:val="30"/>
        </w:rPr>
        <w:t>1</w:t>
      </w:r>
      <w:r>
        <w:rPr>
          <w:rFonts w:hint="eastAsia" w:ascii="仿宋_GB2312" w:eastAsia="仿宋_GB2312"/>
          <w:kern w:val="2"/>
          <w:sz w:val="30"/>
          <w:szCs w:val="30"/>
        </w:rPr>
        <w:t>）清算会员自身的交易及由清算会员担保的客户交易；（</w:t>
      </w:r>
      <w:r>
        <w:rPr>
          <w:rFonts w:ascii="仿宋_GB2312" w:eastAsia="仿宋_GB2312"/>
          <w:kern w:val="2"/>
          <w:sz w:val="30"/>
          <w:szCs w:val="30"/>
        </w:rPr>
        <w:t>2</w:t>
      </w:r>
      <w:r>
        <w:rPr>
          <w:rFonts w:hint="eastAsia" w:ascii="仿宋_GB2312" w:eastAsia="仿宋_GB2312"/>
          <w:kern w:val="2"/>
          <w:sz w:val="30"/>
          <w:szCs w:val="30"/>
        </w:rPr>
        <w:t>）中央交易对手对在（</w:t>
      </w:r>
      <w:r>
        <w:rPr>
          <w:rFonts w:ascii="仿宋_GB2312" w:eastAsia="仿宋_GB2312"/>
          <w:kern w:val="2"/>
          <w:sz w:val="30"/>
          <w:szCs w:val="30"/>
        </w:rPr>
        <w:t>1</w:t>
      </w:r>
      <w:r>
        <w:rPr>
          <w:rFonts w:hint="eastAsia" w:ascii="仿宋_GB2312" w:eastAsia="仿宋_GB2312"/>
          <w:kern w:val="2"/>
          <w:sz w:val="30"/>
          <w:szCs w:val="30"/>
        </w:rPr>
        <w:t>）所列示的交易中持有的抵质押品的价值（包括清算会员的预缴资源）。</w:t>
      </w:r>
    </w:p>
    <w:p>
      <w:pPr>
        <w:autoSpaceDE/>
        <w:autoSpaceDN/>
        <w:adjustRightInd/>
        <w:spacing w:line="480" w:lineRule="exact"/>
        <w:ind w:firstLine="600" w:firstLineChars="200"/>
        <w:jc w:val="both"/>
        <w:rPr>
          <w:rFonts w:ascii="仿宋_GB2312" w:eastAsia="仿宋_GB2312"/>
          <w:kern w:val="2"/>
          <w:sz w:val="30"/>
          <w:szCs w:val="30"/>
        </w:rPr>
      </w:pPr>
      <w:r>
        <w:rPr>
          <w:rFonts w:hint="eastAsia" w:ascii="仿宋_GB2312" w:eastAsia="仿宋_GB2312"/>
          <w:kern w:val="2"/>
          <w:sz w:val="30"/>
          <w:szCs w:val="30"/>
        </w:rPr>
        <w:t>关于该步骤的补充说明如下：</w:t>
      </w:r>
    </w:p>
    <w:p>
      <w:pPr>
        <w:autoSpaceDE/>
        <w:autoSpaceDN/>
        <w:adjustRightInd/>
        <w:spacing w:line="480" w:lineRule="exact"/>
        <w:ind w:firstLine="600" w:firstLineChars="200"/>
        <w:jc w:val="both"/>
        <w:rPr>
          <w:rFonts w:ascii="仿宋_GB2312" w:eastAsia="仿宋_GB2312"/>
          <w:kern w:val="2"/>
          <w:sz w:val="30"/>
          <w:szCs w:val="30"/>
        </w:rPr>
      </w:pPr>
      <w:r>
        <w:rPr>
          <w:rFonts w:hint="eastAsia" w:ascii="仿宋_GB2312" w:eastAsia="仿宋_GB2312"/>
          <w:kern w:val="2"/>
          <w:sz w:val="30"/>
          <w:szCs w:val="30"/>
        </w:rPr>
        <w:t>（1）此公式中计量的</w:t>
      </w:r>
      <w:r>
        <w:rPr>
          <w:position w:val="-12"/>
          <w:sz w:val="30"/>
          <w:szCs w:val="30"/>
        </w:rPr>
        <w:object>
          <v:shape id="_x0000_i1027" o:spt="75" type="#_x0000_t75" style="height:17.35pt;width:27.35pt;" o:ole="t" filled="f" o:preferrelative="t" stroked="f" coordsize="21600,21600">
            <v:path/>
            <v:fill on="f" focussize="0,0"/>
            <v:stroke on="f" joinstyle="miter"/>
            <v:imagedata r:id="rId10" o:title=""/>
            <o:lock v:ext="edit" aspectratio="t"/>
            <w10:wrap type="none"/>
            <w10:anchorlock/>
          </v:shape>
          <o:OLEObject Type="Embed" ProgID="Equation.3" ShapeID="_x0000_i1027" DrawAspect="Content" ObjectID="_1468075727" r:id="rId9">
            <o:LockedField>false</o:LockedField>
          </o:OLEObject>
        </w:object>
      </w:r>
      <w:r>
        <w:rPr>
          <w:rFonts w:hint="eastAsia" w:ascii="仿宋_GB2312" w:eastAsia="仿宋_GB2312"/>
          <w:kern w:val="2"/>
          <w:sz w:val="30"/>
          <w:szCs w:val="30"/>
        </w:rPr>
        <w:t>用于确定清算会员违约基金风险暴露应计提的资本，不代表由中央交易对手及其监管部门确定的中央交易对手的实际资本要求。</w:t>
      </w:r>
    </w:p>
    <w:p>
      <w:pPr>
        <w:autoSpaceDE/>
        <w:autoSpaceDN/>
        <w:adjustRightInd/>
        <w:spacing w:line="480" w:lineRule="exact"/>
        <w:ind w:firstLine="600" w:firstLineChars="200"/>
        <w:jc w:val="both"/>
        <w:rPr>
          <w:rFonts w:ascii="仿宋_GB2312" w:eastAsia="仿宋_GB2312"/>
          <w:kern w:val="2"/>
          <w:sz w:val="30"/>
          <w:szCs w:val="30"/>
        </w:rPr>
      </w:pPr>
      <w:r>
        <w:rPr>
          <w:rFonts w:hint="eastAsia" w:ascii="仿宋_GB2312" w:eastAsia="仿宋_GB2312"/>
          <w:kern w:val="2"/>
          <w:sz w:val="30"/>
          <w:szCs w:val="30"/>
        </w:rPr>
        <w:t>（2）RW（风险权重）为20％。国家金融监督管理总局有权根据中央交易对手清算会员的评级等指标，上调风险权重。如发生上调，则相关银行应及时告知完成此计量的相关机构及人员。</w:t>
      </w:r>
    </w:p>
    <w:p>
      <w:pPr>
        <w:autoSpaceDE/>
        <w:autoSpaceDN/>
        <w:adjustRightInd/>
        <w:spacing w:line="480" w:lineRule="exact"/>
        <w:ind w:firstLine="600" w:firstLineChars="200"/>
        <w:jc w:val="both"/>
        <w:rPr>
          <w:rFonts w:ascii="仿宋_GB2312" w:eastAsia="仿宋_GB2312"/>
          <w:kern w:val="2"/>
          <w:sz w:val="30"/>
          <w:szCs w:val="30"/>
        </w:rPr>
      </w:pPr>
      <w:r>
        <w:rPr>
          <w:rFonts w:hint="eastAsia" w:ascii="仿宋_GB2312" w:eastAsia="仿宋_GB2312"/>
          <w:kern w:val="2"/>
          <w:sz w:val="30"/>
          <w:szCs w:val="30"/>
        </w:rPr>
        <w:t>（3）如果清算会员开展代理客户清算业务，并且客户在清算会员处有代理交易和抵质押品的独立专用子账户，则上述公式中的会员违约风险暴露等于客户子账户违约风险暴露与自营子账户违约风险暴露之和。对于子账户中的衍生工具和证券融资交易应分别按类计量，即子账户的违约风险暴露为衍生工具的违约风险暴露和证券融资交易的违约风险暴露之和。</w:t>
      </w:r>
    </w:p>
    <w:p>
      <w:pPr>
        <w:autoSpaceDE/>
        <w:autoSpaceDN/>
        <w:adjustRightInd/>
        <w:spacing w:line="480" w:lineRule="exact"/>
        <w:ind w:firstLine="600" w:firstLineChars="200"/>
        <w:jc w:val="both"/>
        <w:rPr>
          <w:rFonts w:ascii="仿宋_GB2312" w:eastAsia="仿宋_GB2312"/>
          <w:kern w:val="2"/>
          <w:sz w:val="30"/>
          <w:szCs w:val="30"/>
        </w:rPr>
      </w:pPr>
      <w:r>
        <w:rPr>
          <w:rFonts w:hint="eastAsia" w:ascii="仿宋_GB2312" w:eastAsia="仿宋_GB2312"/>
          <w:kern w:val="2"/>
          <w:sz w:val="30"/>
          <w:szCs w:val="30"/>
        </w:rPr>
        <w:t>（4）如果抵质押品同时覆盖证券融资交易和衍生工具，则清算会员或客户的预缴初始保证金应区分证券融资交易和衍生工具并按风险暴露比例分配。证券融资交易和衍生工具风险暴露应按照本办法附件9计量，衍生工具部分不应考虑抵质押品效应。</w:t>
      </w:r>
    </w:p>
    <w:p>
      <w:pPr>
        <w:autoSpaceDE/>
        <w:autoSpaceDN/>
        <w:adjustRightInd/>
        <w:spacing w:line="480" w:lineRule="exact"/>
        <w:ind w:firstLine="600" w:firstLineChars="200"/>
        <w:jc w:val="both"/>
        <w:rPr>
          <w:rFonts w:ascii="仿宋_GB2312" w:eastAsia="仿宋_GB2312"/>
          <w:kern w:val="2"/>
          <w:sz w:val="30"/>
          <w:szCs w:val="30"/>
        </w:rPr>
      </w:pPr>
      <w:r>
        <w:rPr>
          <w:rFonts w:hint="eastAsia" w:ascii="仿宋_GB2312" w:eastAsia="仿宋_GB2312"/>
          <w:kern w:val="2"/>
          <w:sz w:val="30"/>
          <w:szCs w:val="30"/>
        </w:rPr>
        <w:t>（5）如果清算会员缴纳的违约基金不能区分客户子账户和自营子账户进行分配，则应按照子账户的初始保证金相对于清算会员提交的总初始保证金的比例，对每个子账户进行分配。</w:t>
      </w:r>
    </w:p>
    <w:p>
      <w:pPr>
        <w:autoSpaceDE/>
        <w:autoSpaceDN/>
        <w:adjustRightInd/>
        <w:spacing w:line="480" w:lineRule="exact"/>
        <w:ind w:firstLine="600" w:firstLineChars="200"/>
        <w:jc w:val="both"/>
        <w:rPr>
          <w:rFonts w:ascii="仿宋_GB2312" w:eastAsia="仿宋_GB2312"/>
          <w:kern w:val="2"/>
          <w:sz w:val="30"/>
          <w:szCs w:val="30"/>
        </w:rPr>
      </w:pPr>
      <w:r>
        <w:rPr>
          <w:rFonts w:hint="eastAsia" w:ascii="仿宋_GB2312" w:eastAsia="仿宋_GB2312"/>
          <w:kern w:val="2"/>
          <w:sz w:val="30"/>
          <w:szCs w:val="30"/>
        </w:rPr>
        <w:t>（6）对于衍生工具的违约风险暴露，按本办法附件9计量规则计量风险暴露。计量时：应使用10天的保证金风险期间（MPOR）来计量中央交易对手在衍生工具交易中对清算会员的潜在风险暴露。同时，交易数量超过5000笔的净额结算组合的20天的保证金风险期间（MPOR）的底线不适用。若清算会员或客户违约，中央交易对手有权处置其所持有的抵质押品（包括会员缴纳的违约基金），用于抵消中央交易对手对该会员或客户的风险暴露，并按照违约风险暴露标准法，将其包含在潜在风险暴露乘数（PFE multiplier）中。</w:t>
      </w:r>
    </w:p>
    <w:p>
      <w:pPr>
        <w:autoSpaceDE/>
        <w:autoSpaceDN/>
        <w:adjustRightInd/>
        <w:spacing w:line="480" w:lineRule="exact"/>
        <w:ind w:firstLine="600" w:firstLineChars="200"/>
        <w:rPr>
          <w:rFonts w:ascii="仿宋_GB2312" w:eastAsia="仿宋_GB2312"/>
          <w:kern w:val="2"/>
          <w:sz w:val="30"/>
          <w:szCs w:val="30"/>
        </w:rPr>
      </w:pPr>
      <w:r>
        <w:rPr>
          <w:rFonts w:hint="eastAsia" w:ascii="仿宋_GB2312" w:eastAsia="仿宋_GB2312"/>
          <w:kern w:val="2"/>
          <w:sz w:val="30"/>
          <w:szCs w:val="30"/>
        </w:rPr>
        <w:t>（7）证券融资交易的违约风险暴露按</w:t>
      </w:r>
      <w:r>
        <w:rPr>
          <w:position w:val="-12"/>
          <w:sz w:val="30"/>
          <w:szCs w:val="30"/>
        </w:rPr>
        <w:object>
          <v:shape id="_x0000_i1028" o:spt="75" type="#_x0000_t75" style="height:18.65pt;width:136pt;" o:ole="t" filled="f" o:preferrelative="t" stroked="f" coordsize="21600,21600">
            <v:path/>
            <v:fill on="f" focussize="0,0"/>
            <v:stroke on="f" joinstyle="miter"/>
            <v:imagedata r:id="rId12" o:title=""/>
            <o:lock v:ext="edit" aspectratio="t"/>
            <w10:wrap type="none"/>
            <w10:anchorlock/>
          </v:shape>
          <o:OLEObject Type="Embed" ProgID="Equation.3" ShapeID="_x0000_i1028" DrawAspect="Content" ObjectID="_1468075728" r:id="rId11">
            <o:LockedField>false</o:LockedField>
          </o:OLEObject>
        </w:object>
      </w:r>
      <w:r>
        <w:rPr>
          <w:rFonts w:hint="eastAsia" w:ascii="仿宋_GB2312" w:eastAsia="仿宋_GB2312"/>
          <w:kern w:val="2"/>
          <w:sz w:val="30"/>
          <w:szCs w:val="30"/>
        </w:rPr>
        <w:t>计量。其中：</w:t>
      </w:r>
      <w:r>
        <w:rPr>
          <w:position w:val="-12"/>
          <w:sz w:val="30"/>
          <w:szCs w:val="30"/>
        </w:rPr>
        <w:object>
          <v:shape id="_x0000_i1029" o:spt="75" type="#_x0000_t75" style="height:20pt;width:39.35pt;" o:ole="t" filled="f" o:preferrelative="t" stroked="f" coordsize="21600,21600">
            <v:path/>
            <v:fill on="f" focussize="0,0"/>
            <v:stroke on="f" joinstyle="miter"/>
            <v:imagedata r:id="rId14" o:title=""/>
            <o:lock v:ext="edit" aspectratio="t"/>
            <w10:wrap type="none"/>
            <w10:anchorlock/>
          </v:shape>
          <o:OLEObject Type="Embed" ProgID="Equation.3" ShapeID="_x0000_i1029" DrawAspect="Content" ObjectID="_1468075729" r:id="rId13">
            <o:LockedField>false</o:LockedField>
          </o:OLEObject>
        </w:object>
      </w:r>
      <w:r>
        <w:rPr>
          <w:rFonts w:hint="eastAsia" w:ascii="仿宋_GB2312" w:eastAsia="仿宋_GB2312"/>
          <w:kern w:val="2"/>
          <w:sz w:val="30"/>
          <w:szCs w:val="30"/>
        </w:rPr>
        <w:t>表示对清算会员</w:t>
      </w:r>
      <w:r>
        <w:rPr>
          <w:rFonts w:ascii="仿宋_GB2312" w:eastAsia="仿宋_GB2312"/>
          <w:kern w:val="2"/>
          <w:sz w:val="30"/>
          <w:szCs w:val="30"/>
        </w:rPr>
        <w:t>i</w:t>
      </w:r>
      <w:r>
        <w:rPr>
          <w:rFonts w:hint="eastAsia" w:ascii="仿宋_GB2312" w:eastAsia="仿宋_GB2312"/>
          <w:kern w:val="2"/>
          <w:sz w:val="30"/>
          <w:szCs w:val="30"/>
        </w:rPr>
        <w:t>的风险暴露，按照本办法附件7第三部分的计量规则计量，追加的变动保证金反映在对各交易的盯市估值中；</w:t>
      </w:r>
      <w:bookmarkStart w:id="0" w:name="_GoBack"/>
      <w:r>
        <w:rPr>
          <w:position w:val="-12"/>
          <w:sz w:val="30"/>
          <w:szCs w:val="30"/>
        </w:rPr>
        <w:object>
          <v:shape id="_x0000_i1030" o:spt="75" type="#_x0000_t75" style="height:20.65pt;width:21.35pt;" o:ole="t" filled="f" o:preferrelative="t" stroked="f" coordsize="21600,21600">
            <v:path/>
            <v:fill on="f" focussize="0,0"/>
            <v:stroke on="f" joinstyle="miter"/>
            <v:imagedata r:id="rId16" o:title=""/>
            <o:lock v:ext="edit" aspectratio="t"/>
            <w10:wrap type="none"/>
            <w10:anchorlock/>
          </v:shape>
          <o:OLEObject Type="Embed" ProgID="Equation.3" ShapeID="_x0000_i1030" DrawAspect="Content" ObjectID="_1468075730" r:id="rId15">
            <o:LockedField>false</o:LockedField>
          </o:OLEObject>
        </w:object>
      </w:r>
      <w:bookmarkEnd w:id="0"/>
      <w:r>
        <w:rPr>
          <w:sz w:val="30"/>
          <w:szCs w:val="30"/>
        </w:rPr>
        <w:t xml:space="preserve"> </w:t>
      </w:r>
      <w:r>
        <w:rPr>
          <w:rFonts w:hint="eastAsia" w:ascii="仿宋_GB2312" w:eastAsia="仿宋_GB2312"/>
          <w:kern w:val="2"/>
          <w:sz w:val="30"/>
          <w:szCs w:val="30"/>
        </w:rPr>
        <w:t>是清算会员i缴纳的初始保证金；</w:t>
      </w:r>
      <w:r>
        <w:rPr>
          <w:position w:val="-12"/>
          <w:sz w:val="30"/>
          <w:szCs w:val="30"/>
        </w:rPr>
        <w:object>
          <v:shape id="_x0000_i1031" o:spt="75" type="#_x0000_t75" style="height:20.65pt;width:21.35pt;" o:ole="t" filled="f" o:preferrelative="t" stroked="f" coordsize="21600,21600">
            <v:path/>
            <v:fill on="f" focussize="0,0"/>
            <v:stroke on="f" joinstyle="miter"/>
            <v:imagedata r:id="rId18" o:title=""/>
            <o:lock v:ext="edit" aspectratio="t"/>
            <w10:wrap type="none"/>
            <w10:anchorlock/>
          </v:shape>
          <o:OLEObject Type="Embed" ProgID="Equation.3" ShapeID="_x0000_i1031" DrawAspect="Content" ObjectID="_1468075731" r:id="rId17">
            <o:LockedField>false</o:LockedField>
          </o:OLEObject>
        </w:object>
      </w:r>
      <w:r>
        <w:rPr>
          <w:rFonts w:hint="eastAsia" w:ascii="仿宋_GB2312" w:eastAsia="仿宋_GB2312"/>
          <w:kern w:val="2"/>
          <w:sz w:val="30"/>
          <w:szCs w:val="30"/>
        </w:rPr>
        <w:t>是清算会员i缴纳的违约基金；折扣系数和抵质押品剩余期限的计量应符合本办法附件7信用风险缓释要求。</w:t>
      </w:r>
    </w:p>
    <w:p>
      <w:pPr>
        <w:autoSpaceDE/>
        <w:autoSpaceDN/>
        <w:adjustRightInd/>
        <w:spacing w:line="480" w:lineRule="exact"/>
        <w:ind w:firstLine="600" w:firstLineChars="200"/>
        <w:jc w:val="both"/>
        <w:rPr>
          <w:rFonts w:ascii="仿宋_GB2312" w:eastAsia="仿宋_GB2312"/>
          <w:kern w:val="2"/>
          <w:sz w:val="30"/>
          <w:szCs w:val="30"/>
        </w:rPr>
      </w:pPr>
      <w:r>
        <w:rPr>
          <w:rFonts w:hint="eastAsia" w:ascii="仿宋_GB2312" w:eastAsia="仿宋_GB2312"/>
          <w:kern w:val="2"/>
          <w:sz w:val="30"/>
          <w:szCs w:val="30"/>
        </w:rPr>
        <w:t>（8）应按照中央交易对手与单家清算会员达成的净额结算协议考虑净额结算的作用。国家金融监督管理总局有权要求采用更为细化的净额结算组合。</w:t>
      </w:r>
    </w:p>
    <w:p>
      <w:pPr>
        <w:autoSpaceDE/>
        <w:autoSpaceDN/>
        <w:adjustRightInd/>
        <w:spacing w:line="480" w:lineRule="exact"/>
        <w:ind w:firstLine="600" w:firstLineChars="200"/>
        <w:jc w:val="both"/>
        <w:rPr>
          <w:rFonts w:ascii="仿宋_GB2312" w:eastAsia="仿宋_GB2312"/>
          <w:kern w:val="2"/>
          <w:sz w:val="30"/>
          <w:szCs w:val="30"/>
        </w:rPr>
      </w:pPr>
      <w:r>
        <w:rPr>
          <w:rFonts w:hint="eastAsia" w:ascii="仿宋_GB2312" w:eastAsia="仿宋_GB2312"/>
          <w:kern w:val="2"/>
          <w:sz w:val="30"/>
          <w:szCs w:val="30"/>
        </w:rPr>
        <w:t>2.计量每家清算会员的资本要求。在计量每家清算会员违约基金的资本要求时，不考虑已提交的作为违约基金的抵质押品的标准监管折扣。公式如下：</w:t>
      </w:r>
    </w:p>
    <w:p>
      <w:pPr>
        <w:jc w:val="center"/>
        <w:rPr>
          <w:sz w:val="30"/>
          <w:szCs w:val="30"/>
        </w:rPr>
      </w:pPr>
      <m:oMathPara>
        <m:oMath>
          <m:sSub>
            <m:sSubPr>
              <m:ctrlPr>
                <w:rPr>
                  <w:rFonts w:ascii="Cambria Math" w:hAnsi="Cambria Math"/>
                  <w:i/>
                  <w:sz w:val="28"/>
                  <w:szCs w:val="28"/>
                </w:rPr>
              </m:ctrlPr>
            </m:sSubPr>
            <m:e>
              <m:r>
                <m:rPr/>
                <w:rPr>
                  <w:rFonts w:ascii="Cambria Math"/>
                  <w:sz w:val="28"/>
                  <w:szCs w:val="28"/>
                </w:rPr>
                <m:t>K</m:t>
              </m:r>
              <m:ctrlPr>
                <w:rPr>
                  <w:rFonts w:ascii="Cambria Math" w:hAnsi="Cambria Math"/>
                  <w:i/>
                  <w:sz w:val="28"/>
                  <w:szCs w:val="28"/>
                </w:rPr>
              </m:ctrlPr>
            </m:e>
            <m:sub>
              <m:r>
                <m:rPr/>
                <w:rPr>
                  <w:rFonts w:ascii="Cambria Math"/>
                  <w:sz w:val="28"/>
                  <w:szCs w:val="28"/>
                </w:rPr>
                <m:t>C</m:t>
              </m:r>
              <m:sSub>
                <m:sSubPr>
                  <m:ctrlPr>
                    <w:rPr>
                      <w:rFonts w:ascii="Cambria Math" w:hAnsi="Cambria Math"/>
                      <w:i/>
                      <w:sz w:val="28"/>
                      <w:szCs w:val="28"/>
                    </w:rPr>
                  </m:ctrlPr>
                </m:sSubPr>
                <m:e>
                  <m:r>
                    <m:rPr/>
                    <w:rPr>
                      <w:rFonts w:ascii="Cambria Math"/>
                      <w:sz w:val="28"/>
                      <w:szCs w:val="28"/>
                    </w:rPr>
                    <m:t>M</m:t>
                  </m:r>
                  <m:ctrlPr>
                    <w:rPr>
                      <w:rFonts w:ascii="Cambria Math" w:hAnsi="Cambria Math"/>
                      <w:i/>
                      <w:sz w:val="28"/>
                      <w:szCs w:val="28"/>
                    </w:rPr>
                  </m:ctrlPr>
                </m:e>
                <m:sub>
                  <m:r>
                    <m:rPr/>
                    <w:rPr>
                      <w:rFonts w:ascii="Cambria Math"/>
                      <w:sz w:val="28"/>
                      <w:szCs w:val="28"/>
                    </w:rPr>
                    <m:t>i</m:t>
                  </m:r>
                  <m:ctrlPr>
                    <w:rPr>
                      <w:rFonts w:ascii="Cambria Math" w:hAnsi="Cambria Math"/>
                      <w:i/>
                      <w:sz w:val="28"/>
                      <w:szCs w:val="28"/>
                    </w:rPr>
                  </m:ctrlPr>
                </m:sub>
              </m:sSub>
              <m:ctrlPr>
                <w:rPr>
                  <w:rFonts w:ascii="Cambria Math" w:hAnsi="Cambria Math"/>
                  <w:i/>
                  <w:sz w:val="28"/>
                  <w:szCs w:val="28"/>
                </w:rPr>
              </m:ctrlPr>
            </m:sub>
          </m:sSub>
          <m:r>
            <m:rPr/>
            <w:rPr>
              <w:rFonts w:ascii="Cambria Math"/>
              <w:sz w:val="28"/>
              <w:szCs w:val="28"/>
            </w:rPr>
            <m:t>=</m:t>
          </m:r>
          <m:func>
            <m:funcPr>
              <m:ctrlPr>
                <w:rPr>
                  <w:rFonts w:ascii="Cambria Math" w:hAnsi="Cambria Math"/>
                  <w:i/>
                  <w:sz w:val="28"/>
                  <w:szCs w:val="28"/>
                </w:rPr>
              </m:ctrlPr>
            </m:funcPr>
            <m:fName>
              <m:r>
                <m:rPr/>
                <w:rPr>
                  <w:rFonts w:ascii="Cambria Math"/>
                  <w:sz w:val="28"/>
                  <w:szCs w:val="28"/>
                </w:rPr>
                <m:t>max</m:t>
              </m:r>
              <m:ctrlPr>
                <w:rPr>
                  <w:rFonts w:ascii="Cambria Math" w:hAnsi="Cambria Math"/>
                  <w:i/>
                  <w:sz w:val="28"/>
                  <w:szCs w:val="28"/>
                </w:rPr>
              </m:ctrlPr>
            </m:fName>
            <m:e>
              <m:d>
                <m:dPr>
                  <m:ctrlPr>
                    <w:rPr>
                      <w:rFonts w:ascii="Cambria Math" w:hAnsi="Cambria Math"/>
                      <w:i/>
                      <w:sz w:val="28"/>
                      <w:szCs w:val="28"/>
                    </w:rPr>
                  </m:ctrlPr>
                </m:dPr>
                <m:e>
                  <m:sSub>
                    <m:sSubPr>
                      <m:ctrlPr>
                        <w:rPr>
                          <w:rFonts w:ascii="Cambria Math" w:hAnsi="Cambria Math"/>
                          <w:i/>
                          <w:sz w:val="28"/>
                          <w:szCs w:val="28"/>
                        </w:rPr>
                      </m:ctrlPr>
                    </m:sSubPr>
                    <m:e>
                      <m:r>
                        <m:rPr/>
                        <w:rPr>
                          <w:rFonts w:ascii="Cambria Math"/>
                          <w:sz w:val="28"/>
                          <w:szCs w:val="28"/>
                        </w:rPr>
                        <m:t>K</m:t>
                      </m:r>
                      <m:ctrlPr>
                        <w:rPr>
                          <w:rFonts w:ascii="Cambria Math" w:hAnsi="Cambria Math"/>
                          <w:i/>
                          <w:sz w:val="28"/>
                          <w:szCs w:val="28"/>
                        </w:rPr>
                      </m:ctrlPr>
                    </m:e>
                    <m:sub>
                      <m:r>
                        <m:rPr/>
                        <w:rPr>
                          <w:rFonts w:ascii="Cambria Math"/>
                          <w:sz w:val="28"/>
                          <w:szCs w:val="28"/>
                        </w:rPr>
                        <m:t>CCP</m:t>
                      </m:r>
                      <m:ctrlPr>
                        <w:rPr>
                          <w:rFonts w:ascii="Cambria Math" w:hAnsi="Cambria Math"/>
                          <w:i/>
                          <w:sz w:val="28"/>
                          <w:szCs w:val="28"/>
                        </w:rPr>
                      </m:ctrlPr>
                    </m:sub>
                  </m:sSub>
                  <m:r>
                    <m:rPr/>
                    <w:rPr>
                      <w:rFonts w:hint="eastAsia" w:ascii="MS Mincho" w:hAnsi="MS Mincho" w:eastAsia="MS Mincho" w:cs="MS Mincho"/>
                      <w:sz w:val="28"/>
                      <w:szCs w:val="28"/>
                    </w:rPr>
                    <m:t>⋅</m:t>
                  </m:r>
                  <m:d>
                    <m:dPr>
                      <m:ctrlPr>
                        <w:rPr>
                          <w:rFonts w:ascii="Cambria Math" w:hAnsi="Cambria Math"/>
                          <w:i/>
                          <w:sz w:val="28"/>
                          <w:szCs w:val="28"/>
                        </w:rPr>
                      </m:ctrlPr>
                    </m:dPr>
                    <m:e>
                      <m:f>
                        <m:fPr>
                          <m:ctrlPr>
                            <w:rPr>
                              <w:rFonts w:ascii="Cambria Math" w:hAnsi="Cambria Math"/>
                              <w:i/>
                              <w:sz w:val="28"/>
                              <w:szCs w:val="28"/>
                            </w:rPr>
                          </m:ctrlPr>
                        </m:fPr>
                        <m:num>
                          <m:r>
                            <m:rPr/>
                            <w:rPr>
                              <w:rFonts w:ascii="Cambria Math"/>
                              <w:sz w:val="28"/>
                              <w:szCs w:val="28"/>
                            </w:rPr>
                            <m:t>D</m:t>
                          </m:r>
                          <m:sSubSup>
                            <m:sSubSupPr>
                              <m:ctrlPr>
                                <w:rPr>
                                  <w:rFonts w:ascii="Cambria Math" w:hAnsi="Cambria Math"/>
                                  <w:i/>
                                  <w:sz w:val="28"/>
                                  <w:szCs w:val="28"/>
                                </w:rPr>
                              </m:ctrlPr>
                            </m:sSubSupPr>
                            <m:e>
                              <m:r>
                                <m:rPr/>
                                <w:rPr>
                                  <w:rFonts w:ascii="Cambria Math"/>
                                  <w:sz w:val="28"/>
                                  <w:szCs w:val="28"/>
                                </w:rPr>
                                <m:t>F</m:t>
                              </m:r>
                              <m:ctrlPr>
                                <w:rPr>
                                  <w:rFonts w:ascii="Cambria Math" w:hAnsi="Cambria Math"/>
                                  <w:i/>
                                  <w:sz w:val="28"/>
                                  <w:szCs w:val="28"/>
                                </w:rPr>
                              </m:ctrlPr>
                            </m:e>
                            <m:sub>
                              <m:r>
                                <m:rPr/>
                                <w:rPr>
                                  <w:rFonts w:ascii="Cambria Math"/>
                                  <w:sz w:val="28"/>
                                  <w:szCs w:val="28"/>
                                </w:rPr>
                                <m:t>i</m:t>
                              </m:r>
                              <m:ctrlPr>
                                <w:rPr>
                                  <w:rFonts w:ascii="Cambria Math" w:hAnsi="Cambria Math"/>
                                  <w:i/>
                                  <w:sz w:val="28"/>
                                  <w:szCs w:val="28"/>
                                </w:rPr>
                              </m:ctrlPr>
                            </m:sub>
                            <m:sup>
                              <m:r>
                                <m:rPr/>
                                <w:rPr>
                                  <w:rFonts w:ascii="Cambria Math"/>
                                  <w:sz w:val="28"/>
                                  <w:szCs w:val="28"/>
                                </w:rPr>
                                <m:t>pref</m:t>
                              </m:r>
                              <m:ctrlPr>
                                <w:rPr>
                                  <w:rFonts w:ascii="Cambria Math" w:hAnsi="Cambria Math"/>
                                  <w:i/>
                                  <w:sz w:val="28"/>
                                  <w:szCs w:val="28"/>
                                </w:rPr>
                              </m:ctrlPr>
                            </m:sup>
                          </m:sSubSup>
                          <m:ctrlPr>
                            <w:rPr>
                              <w:rFonts w:ascii="Cambria Math" w:hAnsi="Cambria Math"/>
                              <w:i/>
                              <w:sz w:val="28"/>
                              <w:szCs w:val="28"/>
                            </w:rPr>
                          </m:ctrlPr>
                        </m:num>
                        <m:den>
                          <m:r>
                            <m:rPr/>
                            <w:rPr>
                              <w:rFonts w:ascii="Cambria Math"/>
                              <w:sz w:val="28"/>
                              <w:szCs w:val="28"/>
                            </w:rPr>
                            <m:t>D</m:t>
                          </m:r>
                          <m:sSub>
                            <m:sSubPr>
                              <m:ctrlPr>
                                <w:rPr>
                                  <w:rFonts w:ascii="Cambria Math" w:hAnsi="Cambria Math"/>
                                  <w:i/>
                                  <w:sz w:val="28"/>
                                  <w:szCs w:val="28"/>
                                </w:rPr>
                              </m:ctrlPr>
                            </m:sSubPr>
                            <m:e>
                              <m:r>
                                <m:rPr/>
                                <w:rPr>
                                  <w:rFonts w:ascii="Cambria Math"/>
                                  <w:sz w:val="28"/>
                                  <w:szCs w:val="28"/>
                                </w:rPr>
                                <m:t>F</m:t>
                              </m:r>
                              <m:ctrlPr>
                                <w:rPr>
                                  <w:rFonts w:ascii="Cambria Math" w:hAnsi="Cambria Math"/>
                                  <w:i/>
                                  <w:sz w:val="28"/>
                                  <w:szCs w:val="28"/>
                                </w:rPr>
                              </m:ctrlPr>
                            </m:e>
                            <m:sub>
                              <m:r>
                                <m:rPr/>
                                <w:rPr>
                                  <w:rFonts w:ascii="Cambria Math"/>
                                  <w:sz w:val="28"/>
                                  <w:szCs w:val="28"/>
                                </w:rPr>
                                <m:t>CCP</m:t>
                              </m:r>
                              <m:ctrlPr>
                                <w:rPr>
                                  <w:rFonts w:ascii="Cambria Math" w:hAnsi="Cambria Math"/>
                                  <w:i/>
                                  <w:sz w:val="28"/>
                                  <w:szCs w:val="28"/>
                                </w:rPr>
                              </m:ctrlPr>
                            </m:sub>
                          </m:sSub>
                          <m:r>
                            <m:rPr/>
                            <w:rPr>
                              <w:rFonts w:ascii="Cambria Math"/>
                              <w:sz w:val="28"/>
                              <w:szCs w:val="28"/>
                            </w:rPr>
                            <m:t>+D</m:t>
                          </m:r>
                          <m:sSubSup>
                            <m:sSubSupPr>
                              <m:ctrlPr>
                                <w:rPr>
                                  <w:rFonts w:ascii="Cambria Math" w:hAnsi="Cambria Math"/>
                                  <w:i/>
                                  <w:sz w:val="28"/>
                                  <w:szCs w:val="28"/>
                                </w:rPr>
                              </m:ctrlPr>
                            </m:sSubSupPr>
                            <m:e>
                              <m:r>
                                <m:rPr/>
                                <w:rPr>
                                  <w:rFonts w:ascii="Cambria Math"/>
                                  <w:sz w:val="28"/>
                                  <w:szCs w:val="28"/>
                                </w:rPr>
                                <m:t>F</m:t>
                              </m:r>
                              <m:ctrlPr>
                                <w:rPr>
                                  <w:rFonts w:ascii="Cambria Math" w:hAnsi="Cambria Math"/>
                                  <w:i/>
                                  <w:sz w:val="28"/>
                                  <w:szCs w:val="28"/>
                                </w:rPr>
                              </m:ctrlPr>
                            </m:e>
                            <m:sub>
                              <m:r>
                                <m:rPr/>
                                <w:rPr>
                                  <w:rFonts w:ascii="Cambria Math"/>
                                  <w:sz w:val="28"/>
                                  <w:szCs w:val="28"/>
                                </w:rPr>
                                <m:t>CM</m:t>
                              </m:r>
                              <m:ctrlPr>
                                <w:rPr>
                                  <w:rFonts w:ascii="Cambria Math" w:hAnsi="Cambria Math"/>
                                  <w:i/>
                                  <w:sz w:val="28"/>
                                  <w:szCs w:val="28"/>
                                </w:rPr>
                              </m:ctrlPr>
                            </m:sub>
                            <m:sup>
                              <m:r>
                                <m:rPr/>
                                <w:rPr>
                                  <w:rFonts w:ascii="Cambria Math"/>
                                  <w:sz w:val="28"/>
                                  <w:szCs w:val="28"/>
                                </w:rPr>
                                <m:t>pref</m:t>
                              </m:r>
                              <m:ctrlPr>
                                <w:rPr>
                                  <w:rFonts w:ascii="Cambria Math" w:hAnsi="Cambria Math"/>
                                  <w:i/>
                                  <w:sz w:val="28"/>
                                  <w:szCs w:val="28"/>
                                </w:rPr>
                              </m:ctrlPr>
                            </m:sup>
                          </m:sSubSup>
                          <m:ctrlPr>
                            <w:rPr>
                              <w:rFonts w:ascii="Cambria Math" w:hAnsi="Cambria Math"/>
                              <w:i/>
                              <w:sz w:val="28"/>
                              <w:szCs w:val="28"/>
                            </w:rPr>
                          </m:ctrlPr>
                        </m:den>
                      </m:f>
                      <m:ctrlPr>
                        <w:rPr>
                          <w:rFonts w:ascii="Cambria Math" w:hAnsi="Cambria Math"/>
                          <w:i/>
                          <w:sz w:val="28"/>
                          <w:szCs w:val="28"/>
                        </w:rPr>
                      </m:ctrlPr>
                    </m:e>
                  </m:d>
                  <m:r>
                    <m:rPr/>
                    <w:rPr>
                      <w:rFonts w:ascii="Cambria Math"/>
                      <w:sz w:val="28"/>
                      <w:szCs w:val="28"/>
                    </w:rPr>
                    <m:t>,8%</m:t>
                  </m:r>
                  <m:r>
                    <m:rPr/>
                    <w:rPr>
                      <w:rFonts w:hint="eastAsia" w:ascii="MS Mincho" w:hAnsi="MS Mincho" w:eastAsia="MS Mincho" w:cs="MS Mincho"/>
                      <w:sz w:val="28"/>
                      <w:szCs w:val="28"/>
                    </w:rPr>
                    <m:t>∗</m:t>
                  </m:r>
                  <m:r>
                    <m:rPr/>
                    <w:rPr>
                      <w:rFonts w:ascii="Cambria Math"/>
                      <w:sz w:val="28"/>
                      <w:szCs w:val="28"/>
                    </w:rPr>
                    <m:t>2%</m:t>
                  </m:r>
                  <m:r>
                    <m:rPr/>
                    <w:rPr>
                      <w:rFonts w:hint="eastAsia" w:ascii="MS Mincho" w:hAnsi="MS Mincho" w:eastAsia="MS Mincho" w:cs="MS Mincho"/>
                      <w:sz w:val="28"/>
                      <w:szCs w:val="28"/>
                    </w:rPr>
                    <m:t>∗</m:t>
                  </m:r>
                  <m:r>
                    <m:rPr/>
                    <w:rPr>
                      <w:rFonts w:ascii="Cambria Math"/>
                      <w:sz w:val="28"/>
                      <w:szCs w:val="28"/>
                    </w:rPr>
                    <m:t>D</m:t>
                  </m:r>
                  <m:sSubSup>
                    <m:sSubSupPr>
                      <m:ctrlPr>
                        <w:rPr>
                          <w:rFonts w:ascii="Cambria Math" w:hAnsi="Cambria Math"/>
                          <w:i/>
                          <w:sz w:val="28"/>
                          <w:szCs w:val="28"/>
                        </w:rPr>
                      </m:ctrlPr>
                    </m:sSubSupPr>
                    <m:e>
                      <m:r>
                        <m:rPr/>
                        <w:rPr>
                          <w:rFonts w:ascii="Cambria Math"/>
                          <w:sz w:val="28"/>
                          <w:szCs w:val="28"/>
                        </w:rPr>
                        <m:t>F</m:t>
                      </m:r>
                      <m:ctrlPr>
                        <w:rPr>
                          <w:rFonts w:ascii="Cambria Math" w:hAnsi="Cambria Math"/>
                          <w:i/>
                          <w:sz w:val="28"/>
                          <w:szCs w:val="28"/>
                        </w:rPr>
                      </m:ctrlPr>
                    </m:e>
                    <m:sub>
                      <m:r>
                        <m:rPr/>
                        <w:rPr>
                          <w:rFonts w:ascii="Cambria Math"/>
                          <w:sz w:val="28"/>
                          <w:szCs w:val="28"/>
                        </w:rPr>
                        <m:t>i</m:t>
                      </m:r>
                      <m:ctrlPr>
                        <w:rPr>
                          <w:rFonts w:ascii="Cambria Math" w:hAnsi="Cambria Math"/>
                          <w:i/>
                          <w:sz w:val="28"/>
                          <w:szCs w:val="28"/>
                        </w:rPr>
                      </m:ctrlPr>
                    </m:sub>
                    <m:sup>
                      <m:r>
                        <m:rPr/>
                        <w:rPr>
                          <w:rFonts w:ascii="Cambria Math"/>
                          <w:sz w:val="28"/>
                          <w:szCs w:val="28"/>
                        </w:rPr>
                        <m:t>pref</m:t>
                      </m:r>
                      <m:ctrlPr>
                        <w:rPr>
                          <w:rFonts w:ascii="Cambria Math" w:hAnsi="Cambria Math"/>
                          <w:i/>
                          <w:sz w:val="28"/>
                          <w:szCs w:val="28"/>
                        </w:rPr>
                      </m:ctrlPr>
                    </m:sup>
                  </m:sSubSup>
                  <m:ctrlPr>
                    <w:rPr>
                      <w:rFonts w:ascii="Cambria Math" w:hAnsi="Cambria Math"/>
                      <w:i/>
                      <w:sz w:val="28"/>
                      <w:szCs w:val="28"/>
                    </w:rPr>
                  </m:ctrlPr>
                </m:e>
              </m:d>
              <m:ctrlPr>
                <w:rPr>
                  <w:rFonts w:ascii="Cambria Math" w:hAnsi="Cambria Math"/>
                  <w:i/>
                  <w:sz w:val="28"/>
                  <w:szCs w:val="28"/>
                </w:rPr>
              </m:ctrlPr>
            </m:e>
          </m:func>
        </m:oMath>
      </m:oMathPara>
    </w:p>
    <w:p>
      <w:pPr>
        <w:autoSpaceDE/>
        <w:autoSpaceDN/>
        <w:adjustRightInd/>
        <w:spacing w:line="480" w:lineRule="exact"/>
        <w:ind w:firstLine="600" w:firstLineChars="200"/>
        <w:jc w:val="both"/>
        <w:rPr>
          <w:rFonts w:ascii="仿宋_GB2312" w:eastAsia="仿宋_GB2312"/>
          <w:kern w:val="2"/>
          <w:sz w:val="30"/>
          <w:szCs w:val="30"/>
        </w:rPr>
      </w:pPr>
      <w:r>
        <w:rPr>
          <w:rFonts w:hint="eastAsia" w:ascii="仿宋_GB2312" w:eastAsia="仿宋_GB2312"/>
          <w:kern w:val="2"/>
          <w:sz w:val="30"/>
          <w:szCs w:val="30"/>
        </w:rPr>
        <w:t xml:space="preserve">其中， </w:t>
      </w:r>
    </w:p>
    <w:p>
      <w:pPr>
        <w:autoSpaceDE/>
        <w:autoSpaceDN/>
        <w:adjustRightInd/>
        <w:spacing w:line="480" w:lineRule="exact"/>
        <w:ind w:firstLine="600" w:firstLineChars="200"/>
        <w:jc w:val="both"/>
        <w:rPr>
          <w:rFonts w:ascii="仿宋_GB2312" w:eastAsia="仿宋_GB2312"/>
          <w:kern w:val="2"/>
          <w:sz w:val="30"/>
          <w:szCs w:val="30"/>
        </w:rPr>
      </w:pPr>
      <w:r>
        <w:rPr>
          <w:position w:val="-12"/>
          <w:sz w:val="30"/>
          <w:szCs w:val="30"/>
        </w:rPr>
        <w:object>
          <v:shape id="_x0000_i1032" o:spt="75" type="#_x0000_t75" style="height:17.35pt;width:26.65pt;" o:ole="t" filled="f" o:preferrelative="t" stroked="f" coordsize="21600,21600">
            <v:path/>
            <v:fill on="f" focussize="0,0"/>
            <v:stroke on="f" joinstyle="miter"/>
            <v:imagedata r:id="rId20" o:title=""/>
            <o:lock v:ext="edit" aspectratio="t"/>
            <w10:wrap type="none"/>
            <w10:anchorlock/>
          </v:shape>
          <o:OLEObject Type="Embed" ProgID="Equation.3" ShapeID="_x0000_i1032" DrawAspect="Content" ObjectID="_1468075732" r:id="rId19">
            <o:LockedField>false</o:LockedField>
          </o:OLEObject>
        </w:object>
      </w:r>
      <w:r>
        <w:rPr>
          <w:rFonts w:hint="eastAsia" w:ascii="仿宋_GB2312" w:eastAsia="仿宋_GB2312"/>
          <w:kern w:val="2"/>
          <w:sz w:val="30"/>
          <w:szCs w:val="30"/>
        </w:rPr>
        <w:t>是清算会员i缴纳的违约基金的资本要求；</w:t>
      </w:r>
    </w:p>
    <w:p>
      <w:pPr>
        <w:autoSpaceDE/>
        <w:autoSpaceDN/>
        <w:adjustRightInd/>
        <w:spacing w:line="480" w:lineRule="exact"/>
        <w:ind w:firstLine="600" w:firstLineChars="200"/>
        <w:jc w:val="both"/>
        <w:rPr>
          <w:rFonts w:ascii="仿宋_GB2312" w:eastAsia="仿宋_GB2312"/>
          <w:kern w:val="2"/>
          <w:sz w:val="30"/>
          <w:szCs w:val="30"/>
        </w:rPr>
      </w:pPr>
      <w:r>
        <w:rPr>
          <w:position w:val="-12"/>
          <w:sz w:val="30"/>
          <w:szCs w:val="30"/>
        </w:rPr>
        <w:object>
          <v:shape id="_x0000_i1033" o:spt="75" type="#_x0000_t75" style="height:18.65pt;width:36.65pt;" o:ole="t" filled="f" o:preferrelative="t" stroked="f" coordsize="21600,21600">
            <v:path/>
            <v:fill on="f" focussize="0,0"/>
            <v:stroke on="f" joinstyle="miter"/>
            <v:imagedata r:id="rId22" o:title=""/>
            <o:lock v:ext="edit" aspectratio="t"/>
            <w10:wrap type="none"/>
            <w10:anchorlock/>
          </v:shape>
          <o:OLEObject Type="Embed" ProgID="Equation.3" ShapeID="_x0000_i1033" DrawAspect="Content" ObjectID="_1468075733" r:id="rId21">
            <o:LockedField>false</o:LockedField>
          </o:OLEObject>
        </w:object>
      </w:r>
      <w:r>
        <w:rPr>
          <w:rFonts w:hint="eastAsia" w:ascii="仿宋_GB2312" w:eastAsia="仿宋_GB2312"/>
          <w:kern w:val="2"/>
          <w:sz w:val="30"/>
          <w:szCs w:val="30"/>
        </w:rPr>
        <w:t>是清算会员预缴资源的总额；</w:t>
      </w:r>
    </w:p>
    <w:p>
      <w:pPr>
        <w:autoSpaceDE/>
        <w:autoSpaceDN/>
        <w:adjustRightInd/>
        <w:spacing w:line="480" w:lineRule="exact"/>
        <w:ind w:firstLine="600" w:firstLineChars="200"/>
        <w:jc w:val="both"/>
        <w:rPr>
          <w:rFonts w:ascii="仿宋_GB2312" w:eastAsia="仿宋_GB2312"/>
          <w:kern w:val="2"/>
          <w:sz w:val="30"/>
          <w:szCs w:val="30"/>
        </w:rPr>
      </w:pPr>
      <w:r>
        <w:rPr>
          <w:position w:val="-12"/>
          <w:sz w:val="30"/>
          <w:szCs w:val="30"/>
        </w:rPr>
        <w:object>
          <v:shape id="_x0000_i1034" o:spt="75" type="#_x0000_t75" style="height:17.35pt;width:33.35pt;" o:ole="t" filled="f" o:preferrelative="t" stroked="f" coordsize="21600,21600">
            <v:path/>
            <v:fill on="f" focussize="0,0"/>
            <v:stroke on="f" joinstyle="miter"/>
            <v:imagedata r:id="rId24" o:title=""/>
            <o:lock v:ext="edit" aspectratio="t"/>
            <w10:wrap type="none"/>
            <w10:anchorlock/>
          </v:shape>
          <o:OLEObject Type="Embed" ProgID="Equation.3" ShapeID="_x0000_i1034" DrawAspect="Content" ObjectID="_1468075734" r:id="rId23">
            <o:LockedField>false</o:LockedField>
          </o:OLEObject>
        </w:object>
      </w:r>
      <w:r>
        <w:rPr>
          <w:rFonts w:hint="eastAsia" w:ascii="仿宋_GB2312" w:eastAsia="仿宋_GB2312"/>
          <w:kern w:val="2"/>
          <w:sz w:val="30"/>
          <w:szCs w:val="30"/>
        </w:rPr>
        <w:t>是中央交易对手自身财务资源（如实收资本、留存收益等）,这些资源应在清算会员缴纳的违约基金之前或同级用于吸收其损失；</w:t>
      </w:r>
    </w:p>
    <w:p>
      <w:pPr>
        <w:autoSpaceDE/>
        <w:autoSpaceDN/>
        <w:adjustRightInd/>
        <w:spacing w:line="480" w:lineRule="exact"/>
        <w:ind w:firstLine="600" w:firstLineChars="200"/>
        <w:jc w:val="both"/>
        <w:rPr>
          <w:rFonts w:ascii="仿宋_GB2312" w:eastAsia="仿宋_GB2312"/>
          <w:kern w:val="2"/>
          <w:sz w:val="30"/>
          <w:szCs w:val="30"/>
        </w:rPr>
      </w:pPr>
      <w:r>
        <w:rPr>
          <w:position w:val="-12"/>
          <w:sz w:val="30"/>
          <w:szCs w:val="30"/>
        </w:rPr>
        <w:object>
          <v:shape id="_x0000_i1035" o:spt="75" type="#_x0000_t75" style="height:18.65pt;width:36.65pt;" o:ole="t" filled="f" o:preferrelative="t" stroked="f" coordsize="21600,21600">
            <v:path/>
            <v:fill on="f" focussize="0,0"/>
            <v:stroke on="f" joinstyle="miter"/>
            <v:imagedata r:id="rId26" o:title=""/>
            <o:lock v:ext="edit" aspectratio="t"/>
            <w10:wrap type="none"/>
            <w10:anchorlock/>
          </v:shape>
          <o:OLEObject Type="Embed" ProgID="Equation.3" ShapeID="_x0000_i1035" DrawAspect="Content" ObjectID="_1468075735" r:id="rId25">
            <o:LockedField>false</o:LockedField>
          </o:OLEObject>
        </w:object>
      </w:r>
      <w:r>
        <w:rPr>
          <w:rFonts w:hint="eastAsia" w:ascii="仿宋_GB2312" w:eastAsia="仿宋_GB2312"/>
          <w:kern w:val="2"/>
          <w:sz w:val="30"/>
          <w:szCs w:val="30"/>
        </w:rPr>
        <w:t>是清算会员i的预缴资源；</w:t>
      </w:r>
    </w:p>
    <w:p>
      <w:pPr>
        <w:autoSpaceDE/>
        <w:autoSpaceDN/>
        <w:adjustRightInd/>
        <w:spacing w:line="480" w:lineRule="exact"/>
        <w:ind w:firstLine="600" w:firstLineChars="200"/>
        <w:jc w:val="both"/>
        <w:rPr>
          <w:rFonts w:ascii="仿宋_GB2312" w:eastAsia="仿宋_GB2312"/>
          <w:kern w:val="2"/>
          <w:sz w:val="30"/>
          <w:szCs w:val="30"/>
        </w:rPr>
      </w:pPr>
      <w:r>
        <w:rPr>
          <w:rFonts w:hint="eastAsia" w:ascii="仿宋_GB2312" w:eastAsia="仿宋_GB2312"/>
          <w:kern w:val="2"/>
          <w:sz w:val="30"/>
          <w:szCs w:val="30"/>
        </w:rPr>
        <w:t>违约基金风险暴露的风险权重底线为2%。</w:t>
      </w:r>
    </w:p>
    <w:p>
      <w:pPr>
        <w:pStyle w:val="3"/>
      </w:pPr>
      <w:r>
        <w:rPr>
          <w:rFonts w:hint="eastAsia"/>
        </w:rPr>
        <w:t>三、商业银行对合格中央交易对手风险暴露资本要求的上限</w:t>
      </w:r>
    </w:p>
    <w:p>
      <w:pPr>
        <w:autoSpaceDE/>
        <w:autoSpaceDN/>
        <w:adjustRightInd/>
        <w:spacing w:line="480" w:lineRule="exact"/>
        <w:ind w:firstLine="600" w:firstLineChars="200"/>
        <w:jc w:val="both"/>
        <w:rPr>
          <w:rFonts w:ascii="仿宋_GB2312" w:eastAsia="仿宋_GB2312"/>
          <w:kern w:val="2"/>
          <w:sz w:val="30"/>
          <w:szCs w:val="30"/>
        </w:rPr>
      </w:pPr>
      <w:r>
        <w:rPr>
          <w:rFonts w:hint="eastAsia" w:ascii="仿宋_GB2312" w:eastAsia="仿宋_GB2312"/>
          <w:kern w:val="2"/>
          <w:sz w:val="30"/>
          <w:szCs w:val="30"/>
        </w:rPr>
        <w:t>商业银行对合格中央交易对手风险暴露（包括交易风险暴露和违约基金风险暴露）的资本计提要求高于同等条件下对不合格中央交易对手所有风险暴露的资本计提要求时，应取后者作为资本计提要求。</w:t>
      </w:r>
    </w:p>
    <w:p>
      <w:pPr>
        <w:pStyle w:val="3"/>
      </w:pPr>
      <w:r>
        <w:rPr>
          <w:rFonts w:hint="eastAsia"/>
        </w:rPr>
        <w:t>四、商业银行对不合格中央交易对手风险暴露的资本要求</w:t>
      </w:r>
    </w:p>
    <w:p>
      <w:pPr>
        <w:autoSpaceDE/>
        <w:autoSpaceDN/>
        <w:adjustRightInd/>
        <w:spacing w:line="480" w:lineRule="exact"/>
        <w:ind w:firstLine="600" w:firstLineChars="200"/>
        <w:jc w:val="both"/>
        <w:rPr>
          <w:rFonts w:ascii="仿宋_GB2312" w:eastAsia="仿宋_GB2312"/>
          <w:kern w:val="2"/>
          <w:sz w:val="30"/>
          <w:szCs w:val="30"/>
        </w:rPr>
      </w:pPr>
      <w:r>
        <w:rPr>
          <w:rFonts w:hint="eastAsia" w:ascii="仿宋_GB2312" w:eastAsia="仿宋_GB2312"/>
          <w:kern w:val="2"/>
          <w:sz w:val="30"/>
          <w:szCs w:val="30"/>
        </w:rPr>
        <w:t>（一）商业银行应按照双边交易计量对不合格中央交易对手交易风险暴露的风险加权资产。商业银行应根据信用风险权重法确定不合格中央交易对手的风险权重。</w:t>
      </w:r>
    </w:p>
    <w:p>
      <w:pPr>
        <w:tabs>
          <w:tab w:val="left" w:pos="4111"/>
        </w:tabs>
        <w:autoSpaceDE/>
        <w:autoSpaceDN/>
        <w:adjustRightInd/>
        <w:spacing w:line="480" w:lineRule="exact"/>
        <w:ind w:firstLine="600" w:firstLineChars="200"/>
        <w:jc w:val="both"/>
        <w:rPr>
          <w:rFonts w:ascii="仿宋_GB2312" w:eastAsia="仿宋_GB2312"/>
          <w:kern w:val="2"/>
          <w:sz w:val="30"/>
          <w:szCs w:val="30"/>
        </w:rPr>
      </w:pPr>
      <w:r>
        <w:rPr>
          <w:rFonts w:hint="eastAsia" w:ascii="仿宋_GB2312" w:eastAsia="仿宋_GB2312"/>
          <w:kern w:val="2"/>
          <w:sz w:val="30"/>
          <w:szCs w:val="30"/>
        </w:rPr>
        <w:t>（二）商业银行对不合格中央交易对手违约基金风险暴露的风险权重为1250%。违约基金风险暴露包括已缴纳的违约基金、未缴纳但应中央交易对手要求须缴纳的违约基金。如果商业银行有未缴纳的违约基金承诺，国家金融监督管理总局有权在监督检查程序评估框架下要求商业银行按照1250%的风险权重计提资本。</w:t>
      </w:r>
    </w:p>
    <w:p>
      <w:pPr>
        <w:pStyle w:val="3"/>
      </w:pPr>
      <w:r>
        <w:rPr>
          <w:rFonts w:hint="eastAsia"/>
        </w:rPr>
        <w:t>五、合格中央交易对手的认定标准</w:t>
      </w:r>
    </w:p>
    <w:p>
      <w:pPr>
        <w:autoSpaceDE/>
        <w:autoSpaceDN/>
        <w:adjustRightInd/>
        <w:spacing w:line="480" w:lineRule="exact"/>
        <w:ind w:firstLine="600" w:firstLineChars="200"/>
        <w:jc w:val="both"/>
        <w:rPr>
          <w:rFonts w:ascii="仿宋_GB2312" w:eastAsia="仿宋_GB2312"/>
          <w:kern w:val="2"/>
          <w:sz w:val="30"/>
          <w:szCs w:val="30"/>
        </w:rPr>
      </w:pPr>
      <w:r>
        <w:rPr>
          <w:rFonts w:hint="eastAsia" w:ascii="仿宋_GB2312" w:eastAsia="仿宋_GB2312"/>
          <w:kern w:val="2"/>
          <w:sz w:val="30"/>
          <w:szCs w:val="30"/>
        </w:rPr>
        <w:t>合格中央交易对手为获得行政许可开展相关业务并经中国人民银行、国家金融监督管理总局或证监会认定为合格的中央交易对手，以及其他辖区相关监管当局认定且经国家金融监督管理总局认可的合格中央交易对手。同时，其应满足如下条件：</w:t>
      </w:r>
    </w:p>
    <w:p>
      <w:pPr>
        <w:autoSpaceDE/>
        <w:autoSpaceDN/>
        <w:adjustRightInd/>
        <w:spacing w:line="480" w:lineRule="exact"/>
        <w:ind w:firstLine="600" w:firstLineChars="200"/>
        <w:jc w:val="both"/>
        <w:rPr>
          <w:rFonts w:ascii="仿宋_GB2312" w:eastAsia="仿宋_GB2312"/>
          <w:kern w:val="2"/>
          <w:sz w:val="30"/>
          <w:szCs w:val="30"/>
        </w:rPr>
      </w:pPr>
      <w:r>
        <w:rPr>
          <w:rFonts w:hint="eastAsia" w:ascii="仿宋_GB2312" w:eastAsia="仿宋_GB2312"/>
          <w:kern w:val="2"/>
          <w:sz w:val="30"/>
          <w:szCs w:val="30"/>
        </w:rPr>
        <w:t>（一）合格中央交易对手应有能力计量违约基金风险暴露的资本要求，至少每季度更新这些数据及计量结果，并与清算会员和监管部门分享计量结果。相关计量主要包括：中央交易对手的虚拟资本要求、清算会员预缴资源的总额、中央交易对手自身财务资源等。</w:t>
      </w:r>
    </w:p>
    <w:p>
      <w:pPr>
        <w:autoSpaceDE/>
        <w:autoSpaceDN/>
        <w:adjustRightInd/>
        <w:spacing w:line="480" w:lineRule="exact"/>
        <w:ind w:firstLine="600" w:firstLineChars="200"/>
        <w:jc w:val="both"/>
        <w:rPr>
          <w:rFonts w:ascii="仿宋_GB2312" w:eastAsia="仿宋_GB2312"/>
          <w:kern w:val="2"/>
          <w:sz w:val="30"/>
          <w:szCs w:val="30"/>
        </w:rPr>
      </w:pPr>
      <w:r>
        <w:rPr>
          <w:rFonts w:hint="eastAsia" w:ascii="仿宋_GB2312" w:eastAsia="仿宋_GB2312"/>
          <w:kern w:val="2"/>
          <w:sz w:val="30"/>
          <w:szCs w:val="30"/>
        </w:rPr>
        <w:t>（二）中央交易对手所在国家或地区对该中央交易对手进行持续严格审慎的监管，并实施了支付与市场基础设施委员会（CPMI）和国际证监会组织（IOSCO）联合发布的《金融市场基础设施原则》（P</w:t>
      </w:r>
      <w:r>
        <w:rPr>
          <w:rFonts w:ascii="仿宋_GB2312" w:eastAsia="仿宋_GB2312"/>
          <w:kern w:val="2"/>
          <w:sz w:val="30"/>
          <w:szCs w:val="30"/>
        </w:rPr>
        <w:t>FMI</w:t>
      </w:r>
      <w:r>
        <w:rPr>
          <w:rFonts w:hint="eastAsia" w:ascii="仿宋_GB2312" w:eastAsia="仿宋_GB2312"/>
          <w:kern w:val="2"/>
          <w:sz w:val="30"/>
          <w:szCs w:val="30"/>
        </w:rPr>
        <w:t>）。</w:t>
      </w:r>
    </w:p>
    <w:p>
      <w:pPr>
        <w:autoSpaceDE/>
        <w:autoSpaceDN/>
        <w:adjustRightInd/>
        <w:spacing w:line="480" w:lineRule="exact"/>
        <w:ind w:firstLine="600" w:firstLineChars="200"/>
        <w:jc w:val="both"/>
        <w:rPr>
          <w:rFonts w:ascii="仿宋_GB2312" w:eastAsia="仿宋_GB2312"/>
          <w:kern w:val="2"/>
          <w:sz w:val="30"/>
          <w:szCs w:val="30"/>
        </w:rPr>
      </w:pPr>
      <w:r>
        <w:rPr>
          <w:rFonts w:hint="eastAsia" w:ascii="仿宋_GB2312" w:eastAsia="仿宋_GB2312"/>
          <w:kern w:val="2"/>
          <w:sz w:val="30"/>
          <w:szCs w:val="30"/>
        </w:rPr>
        <w:t>若中央交易对手所在国家或地区尚未实施《金融市场基础设施原则》（P</w:t>
      </w:r>
      <w:r>
        <w:rPr>
          <w:rFonts w:ascii="仿宋_GB2312" w:eastAsia="仿宋_GB2312"/>
          <w:kern w:val="2"/>
          <w:sz w:val="30"/>
          <w:szCs w:val="30"/>
        </w:rPr>
        <w:t>FMI</w:t>
      </w:r>
      <w:r>
        <w:rPr>
          <w:rFonts w:hint="eastAsia" w:ascii="仿宋_GB2312" w:eastAsia="仿宋_GB2312"/>
          <w:kern w:val="2"/>
          <w:sz w:val="30"/>
          <w:szCs w:val="30"/>
        </w:rPr>
        <w:t>），商业银行应按照以下标准判断合格中央交易对手：</w:t>
      </w:r>
    </w:p>
    <w:p>
      <w:pPr>
        <w:autoSpaceDE/>
        <w:autoSpaceDN/>
        <w:adjustRightInd/>
        <w:spacing w:line="480" w:lineRule="exact"/>
        <w:ind w:firstLine="600" w:firstLineChars="200"/>
        <w:jc w:val="both"/>
        <w:rPr>
          <w:rFonts w:ascii="仿宋_GB2312" w:eastAsia="仿宋_GB2312"/>
          <w:kern w:val="2"/>
          <w:sz w:val="30"/>
          <w:szCs w:val="30"/>
        </w:rPr>
      </w:pPr>
      <w:r>
        <w:rPr>
          <w:rFonts w:hint="eastAsia" w:ascii="仿宋_GB2312" w:eastAsia="仿宋_GB2312"/>
          <w:kern w:val="2"/>
          <w:sz w:val="30"/>
          <w:szCs w:val="30"/>
        </w:rPr>
        <w:t>商业银行应向国家金融监督管理总局提供与其交易的中央交易对手清单并评估中央交易对手的监管是否符合支付与基础设施委员会（CPMI）和国际证监会组织（IOSCO）联合发布的《金融市场基础设施原则》。商业银行认定的合格中央交易对手应经国家金融监督管理总局认可。</w:t>
      </w:r>
    </w:p>
    <w:p>
      <w:pPr>
        <w:pStyle w:val="3"/>
      </w:pPr>
      <w:r>
        <w:rPr>
          <w:rFonts w:hint="eastAsia"/>
        </w:rPr>
        <w:t>六、相关名词解释</w:t>
      </w:r>
    </w:p>
    <w:p>
      <w:pPr>
        <w:autoSpaceDE/>
        <w:autoSpaceDN/>
        <w:adjustRightInd/>
        <w:spacing w:line="480" w:lineRule="exact"/>
        <w:ind w:firstLine="600" w:firstLineChars="200"/>
        <w:jc w:val="both"/>
        <w:rPr>
          <w:rFonts w:ascii="仿宋_GB2312" w:eastAsia="仿宋_GB2312"/>
          <w:kern w:val="2"/>
          <w:sz w:val="30"/>
          <w:szCs w:val="30"/>
        </w:rPr>
      </w:pPr>
      <w:r>
        <w:rPr>
          <w:rFonts w:hint="eastAsia" w:ascii="仿宋_GB2312" w:eastAsia="仿宋_GB2312"/>
          <w:kern w:val="2"/>
          <w:sz w:val="30"/>
          <w:szCs w:val="30"/>
        </w:rPr>
        <w:t>（一）清算会员：是指某一中央交易对手的会员或直接参与者。清算会员应当具备与中央交易对手进行交易的资格。这些交易既包含该清算会员以自身对冲或投资为目的所开展的交易，也包含该清算会员以中介身份涉及的中央交易对手与其他市场参与者之间的交易。</w:t>
      </w:r>
    </w:p>
    <w:p>
      <w:pPr>
        <w:autoSpaceDE/>
        <w:autoSpaceDN/>
        <w:adjustRightInd/>
        <w:spacing w:line="480" w:lineRule="exact"/>
        <w:ind w:firstLine="600" w:firstLineChars="200"/>
        <w:jc w:val="both"/>
        <w:rPr>
          <w:rFonts w:ascii="仿宋_GB2312" w:eastAsia="仿宋_GB2312"/>
          <w:kern w:val="2"/>
          <w:sz w:val="30"/>
          <w:szCs w:val="30"/>
        </w:rPr>
      </w:pPr>
      <w:r>
        <w:rPr>
          <w:rFonts w:hint="eastAsia" w:ascii="仿宋_GB2312" w:eastAsia="仿宋_GB2312"/>
          <w:kern w:val="2"/>
          <w:sz w:val="30"/>
          <w:szCs w:val="30"/>
        </w:rPr>
        <w:t>（二）客户：是指与中央交易对手进行交易的相关方，这类交易可以由清算会员充当中介，也可以由清算会员对中央交易对手的一个客户提供保证。</w:t>
      </w:r>
    </w:p>
    <w:p>
      <w:pPr>
        <w:autoSpaceDE/>
        <w:autoSpaceDN/>
        <w:adjustRightInd/>
        <w:spacing w:line="480" w:lineRule="exact"/>
        <w:ind w:firstLine="600" w:firstLineChars="200"/>
        <w:jc w:val="both"/>
        <w:rPr>
          <w:rFonts w:ascii="仿宋_GB2312" w:eastAsia="仿宋_GB2312"/>
          <w:kern w:val="2"/>
          <w:sz w:val="30"/>
          <w:szCs w:val="30"/>
        </w:rPr>
      </w:pPr>
      <w:r>
        <w:rPr>
          <w:rFonts w:hint="eastAsia" w:ascii="仿宋_GB2312" w:eastAsia="仿宋_GB2312"/>
          <w:kern w:val="2"/>
          <w:sz w:val="30"/>
          <w:szCs w:val="30"/>
        </w:rPr>
        <w:t>（三）多层级客户结构：是指商业银行可以作为间接客户进行集中清算，即可由清算会员的客户或清算会员客户的客户提供清算服务。对于客户与客户之间的风险暴露，“高层级客户”表示提供清算服务的机构；“低层级客户”表示通过客户进行清算的机构。</w:t>
      </w:r>
    </w:p>
    <w:p>
      <w:pPr>
        <w:autoSpaceDE/>
        <w:autoSpaceDN/>
        <w:adjustRightInd/>
        <w:spacing w:line="480" w:lineRule="exact"/>
        <w:ind w:firstLine="600" w:firstLineChars="200"/>
        <w:jc w:val="both"/>
        <w:rPr>
          <w:rFonts w:ascii="仿宋_GB2312" w:eastAsia="仿宋_GB2312"/>
          <w:kern w:val="2"/>
          <w:sz w:val="30"/>
          <w:szCs w:val="30"/>
        </w:rPr>
      </w:pPr>
      <w:r>
        <w:rPr>
          <w:rFonts w:hint="eastAsia" w:ascii="仿宋_GB2312" w:eastAsia="仿宋_GB2312"/>
          <w:kern w:val="2"/>
          <w:sz w:val="30"/>
          <w:szCs w:val="30"/>
        </w:rPr>
        <w:t>（四）初始保证金：是指一个清算会员或客户对中央交易对手提供的抵质押品，该抵质押品用于缓释由于交易未来价值变动带来的中央交易对手对清算会员的潜在风险暴露。初始保证金不包括在中央交易对手损失分担机制下所缴纳的份额（例如，当一个中央交易对手把初始保证金用于清算会员之间的损失分担时，这将被视为是违约基金风险暴露）。</w:t>
      </w:r>
    </w:p>
    <w:p>
      <w:pPr>
        <w:autoSpaceDE/>
        <w:autoSpaceDN/>
        <w:adjustRightInd/>
        <w:spacing w:line="480" w:lineRule="exact"/>
        <w:ind w:firstLine="600" w:firstLineChars="200"/>
        <w:jc w:val="both"/>
        <w:rPr>
          <w:rFonts w:ascii="仿宋_GB2312" w:eastAsia="仿宋_GB2312"/>
          <w:kern w:val="2"/>
          <w:sz w:val="30"/>
          <w:szCs w:val="30"/>
        </w:rPr>
      </w:pPr>
      <w:r>
        <w:rPr>
          <w:rFonts w:hint="eastAsia" w:ascii="仿宋_GB2312" w:eastAsia="仿宋_GB2312"/>
          <w:kern w:val="2"/>
          <w:sz w:val="30"/>
          <w:szCs w:val="30"/>
        </w:rPr>
        <w:t>（五）变动保证金：是指根据交易价格波动，由清算会员或客户逐日或当日缴纳的保证金。</w:t>
      </w:r>
    </w:p>
    <w:p>
      <w:pPr>
        <w:autoSpaceDE/>
        <w:autoSpaceDN/>
        <w:adjustRightInd/>
        <w:spacing w:line="480" w:lineRule="exact"/>
        <w:ind w:firstLine="600" w:firstLineChars="200"/>
        <w:jc w:val="both"/>
        <w:rPr>
          <w:rFonts w:ascii="仿宋_GB2312" w:eastAsia="仿宋_GB2312"/>
          <w:kern w:val="2"/>
          <w:sz w:val="30"/>
          <w:szCs w:val="30"/>
        </w:rPr>
      </w:pPr>
      <w:r>
        <w:rPr>
          <w:rFonts w:hint="eastAsia" w:ascii="仿宋_GB2312" w:eastAsia="仿宋_GB2312"/>
          <w:kern w:val="2"/>
          <w:sz w:val="30"/>
          <w:szCs w:val="30"/>
        </w:rPr>
        <w:t>（六）交易风险暴露：是指在场外衍生工具交易、交易所衍生工具交易或证券融资交易中，清算会员或客户对中央交易对手的当期和潜在的风险暴露，包括由于缴纳初始保证金而带来的风险暴露。</w:t>
      </w:r>
    </w:p>
    <w:p>
      <w:pPr>
        <w:autoSpaceDE/>
        <w:autoSpaceDN/>
        <w:adjustRightInd/>
        <w:spacing w:line="480" w:lineRule="exact"/>
        <w:ind w:firstLine="600" w:firstLineChars="200"/>
        <w:jc w:val="both"/>
        <w:rPr>
          <w:rFonts w:ascii="仿宋_GB2312" w:eastAsia="仿宋_GB2312"/>
          <w:kern w:val="2"/>
          <w:sz w:val="30"/>
          <w:szCs w:val="30"/>
        </w:rPr>
      </w:pPr>
      <w:r>
        <w:rPr>
          <w:rFonts w:hint="eastAsia" w:ascii="仿宋_GB2312" w:eastAsia="仿宋_GB2312"/>
          <w:kern w:val="2"/>
          <w:sz w:val="30"/>
          <w:szCs w:val="30"/>
        </w:rPr>
        <w:t>（七）违约基金：是指清算会员已缴纳的或应缴纳的份额，用于分担中央交易对手的损失。违约基金的数额确定应同时考虑损失分担的书面协议和实质性安排。</w:t>
      </w:r>
    </w:p>
    <w:p>
      <w:pPr>
        <w:autoSpaceDE/>
        <w:autoSpaceDN/>
        <w:adjustRightInd/>
        <w:spacing w:line="480" w:lineRule="exact"/>
        <w:ind w:firstLine="600" w:firstLineChars="200"/>
        <w:jc w:val="both"/>
        <w:rPr>
          <w:rFonts w:ascii="仿宋_GB2312" w:eastAsia="仿宋_GB2312"/>
          <w:kern w:val="2"/>
          <w:sz w:val="30"/>
          <w:szCs w:val="30"/>
        </w:rPr>
      </w:pPr>
      <w:r>
        <w:rPr>
          <w:rFonts w:hint="eastAsia" w:ascii="仿宋_GB2312" w:eastAsia="仿宋_GB2312"/>
          <w:kern w:val="2"/>
          <w:sz w:val="30"/>
          <w:szCs w:val="30"/>
        </w:rPr>
        <w:t>（八）抵消交易：是指当清算会员代表客户交易时，清算会员与中央交易对手间进行的交易。</w:t>
      </w:r>
    </w:p>
    <w:p>
      <w:pPr>
        <w:autoSpaceDE/>
        <w:autoSpaceDN/>
        <w:adjustRightInd/>
        <w:spacing w:line="480" w:lineRule="exact"/>
        <w:ind w:firstLine="600" w:firstLineChars="200"/>
        <w:jc w:val="both"/>
        <w:rPr>
          <w:rFonts w:ascii="仿宋_GB2312" w:eastAsia="仿宋_GB2312"/>
          <w:kern w:val="2"/>
          <w:sz w:val="30"/>
          <w:szCs w:val="30"/>
        </w:rPr>
      </w:pPr>
      <w:r>
        <w:rPr>
          <w:rFonts w:hint="eastAsia" w:ascii="仿宋_GB2312" w:eastAsia="仿宋_GB2312"/>
          <w:kern w:val="2"/>
          <w:sz w:val="30"/>
          <w:szCs w:val="30"/>
        </w:rPr>
        <w:t>（九）保证金风险期间：是指自违约交易对手最后一次提供足额保证金的时点至商业银行与该交易对手交易终止并完全对冲市场风险的期间。</w:t>
      </w:r>
    </w:p>
    <w:sectPr>
      <w:footerReference r:id="rId3" w:type="default"/>
      <w:pgSz w:w="11906" w:h="16838"/>
      <w:pgMar w:top="1440" w:right="1803" w:bottom="1440" w:left="1803"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Cambria Math">
    <w:panose1 w:val="02040503050406030204"/>
    <w:charset w:val="00"/>
    <w:family w:val="roman"/>
    <w:pitch w:val="default"/>
    <w:sig w:usb0="E00006FF" w:usb1="420024FF" w:usb2="02000000" w:usb3="00000000" w:csb0="2000019F"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
    </w:sdtPr>
    <w:sdtEndPr>
      <w:rPr>
        <w:rFonts w:ascii="宋体" w:hAnsi="宋体"/>
        <w:sz w:val="21"/>
        <w:szCs w:val="21"/>
      </w:rPr>
    </w:sdtEndPr>
    <w:sdtContent>
      <w:p>
        <w:pPr>
          <w:pStyle w:val="9"/>
          <w:jc w:val="center"/>
          <w:rPr>
            <w:rFonts w:ascii="宋体" w:hAnsi="宋体"/>
            <w:sz w:val="21"/>
            <w:szCs w:val="21"/>
          </w:rPr>
        </w:pPr>
        <w:r>
          <w:rPr>
            <w:rFonts w:ascii="宋体" w:hAnsi="宋体"/>
            <w:sz w:val="21"/>
            <w:szCs w:val="21"/>
          </w:rPr>
          <w:fldChar w:fldCharType="begin"/>
        </w:r>
        <w:r>
          <w:rPr>
            <w:rFonts w:ascii="宋体" w:hAnsi="宋体"/>
            <w:sz w:val="21"/>
            <w:szCs w:val="21"/>
          </w:rPr>
          <w:instrText xml:space="preserve">PAGE   \* MERGEFORMAT</w:instrText>
        </w:r>
        <w:r>
          <w:rPr>
            <w:rFonts w:ascii="宋体" w:hAnsi="宋体"/>
            <w:sz w:val="21"/>
            <w:szCs w:val="21"/>
          </w:rPr>
          <w:fldChar w:fldCharType="separate"/>
        </w:r>
        <w:r>
          <w:rPr>
            <w:rFonts w:ascii="宋体" w:hAnsi="宋体"/>
            <w:sz w:val="21"/>
            <w:szCs w:val="21"/>
            <w:lang w:val="zh-CN"/>
          </w:rPr>
          <w:t>1</w:t>
        </w:r>
        <w:r>
          <w:rPr>
            <w:rFonts w:ascii="宋体" w:hAnsi="宋体"/>
            <w:sz w:val="21"/>
            <w:szCs w:val="21"/>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HorizontalSpacing w:val="120"/>
  <w:drawingGridVerticalSpacing w:val="163"/>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Q4ODRiYzc2Y2I3NTRhOGM2MmIzZmJhODU1ZTk0ZmMifQ=="/>
  </w:docVars>
  <w:rsids>
    <w:rsidRoot w:val="001255DF"/>
    <w:rsid w:val="00002273"/>
    <w:rsid w:val="00003CA1"/>
    <w:rsid w:val="00012C8D"/>
    <w:rsid w:val="00014714"/>
    <w:rsid w:val="00017572"/>
    <w:rsid w:val="00021EF7"/>
    <w:rsid w:val="0006686E"/>
    <w:rsid w:val="00070909"/>
    <w:rsid w:val="000A2CEB"/>
    <w:rsid w:val="000A5D18"/>
    <w:rsid w:val="000B6722"/>
    <w:rsid w:val="000C162D"/>
    <w:rsid w:val="000D7B6B"/>
    <w:rsid w:val="000E3DF1"/>
    <w:rsid w:val="00105651"/>
    <w:rsid w:val="0011319D"/>
    <w:rsid w:val="00116583"/>
    <w:rsid w:val="001255DF"/>
    <w:rsid w:val="001303DE"/>
    <w:rsid w:val="00130607"/>
    <w:rsid w:val="00130F59"/>
    <w:rsid w:val="00132246"/>
    <w:rsid w:val="001421F2"/>
    <w:rsid w:val="0014457A"/>
    <w:rsid w:val="00162EFB"/>
    <w:rsid w:val="00172233"/>
    <w:rsid w:val="00196AA7"/>
    <w:rsid w:val="001A13FA"/>
    <w:rsid w:val="001A684C"/>
    <w:rsid w:val="001B0833"/>
    <w:rsid w:val="001B76B8"/>
    <w:rsid w:val="001D0224"/>
    <w:rsid w:val="001E1588"/>
    <w:rsid w:val="001E396D"/>
    <w:rsid w:val="001E4059"/>
    <w:rsid w:val="001F7FEF"/>
    <w:rsid w:val="00212A2C"/>
    <w:rsid w:val="00214C9C"/>
    <w:rsid w:val="00217D76"/>
    <w:rsid w:val="002216FF"/>
    <w:rsid w:val="00222AD1"/>
    <w:rsid w:val="0023255A"/>
    <w:rsid w:val="002428C2"/>
    <w:rsid w:val="0024462A"/>
    <w:rsid w:val="002705C2"/>
    <w:rsid w:val="002850D0"/>
    <w:rsid w:val="002B797A"/>
    <w:rsid w:val="002C1DDC"/>
    <w:rsid w:val="002C7BE5"/>
    <w:rsid w:val="002D2264"/>
    <w:rsid w:val="002F3E46"/>
    <w:rsid w:val="00301EA6"/>
    <w:rsid w:val="003045E7"/>
    <w:rsid w:val="00304D70"/>
    <w:rsid w:val="00306EB0"/>
    <w:rsid w:val="00324D32"/>
    <w:rsid w:val="003304A4"/>
    <w:rsid w:val="0034514D"/>
    <w:rsid w:val="0034526B"/>
    <w:rsid w:val="003454F8"/>
    <w:rsid w:val="0035333E"/>
    <w:rsid w:val="00354170"/>
    <w:rsid w:val="00365239"/>
    <w:rsid w:val="0037237D"/>
    <w:rsid w:val="00381453"/>
    <w:rsid w:val="003978BF"/>
    <w:rsid w:val="003A3BF2"/>
    <w:rsid w:val="003A609F"/>
    <w:rsid w:val="003D0C6A"/>
    <w:rsid w:val="003D1E3F"/>
    <w:rsid w:val="003E493F"/>
    <w:rsid w:val="00432A26"/>
    <w:rsid w:val="00440287"/>
    <w:rsid w:val="00443540"/>
    <w:rsid w:val="00453E95"/>
    <w:rsid w:val="00456E5A"/>
    <w:rsid w:val="004572BE"/>
    <w:rsid w:val="00475B8D"/>
    <w:rsid w:val="004760F0"/>
    <w:rsid w:val="00483BC0"/>
    <w:rsid w:val="00492F62"/>
    <w:rsid w:val="004A1345"/>
    <w:rsid w:val="004B3AF4"/>
    <w:rsid w:val="004C0510"/>
    <w:rsid w:val="004D072E"/>
    <w:rsid w:val="004E4474"/>
    <w:rsid w:val="004F6F40"/>
    <w:rsid w:val="005001A7"/>
    <w:rsid w:val="00506676"/>
    <w:rsid w:val="00512BEC"/>
    <w:rsid w:val="0051323B"/>
    <w:rsid w:val="00525017"/>
    <w:rsid w:val="00556CF8"/>
    <w:rsid w:val="005651B0"/>
    <w:rsid w:val="00573459"/>
    <w:rsid w:val="00580FEC"/>
    <w:rsid w:val="00586776"/>
    <w:rsid w:val="005908C5"/>
    <w:rsid w:val="00590BC8"/>
    <w:rsid w:val="0059135A"/>
    <w:rsid w:val="005917A6"/>
    <w:rsid w:val="00593216"/>
    <w:rsid w:val="00593F87"/>
    <w:rsid w:val="005A79E8"/>
    <w:rsid w:val="005B6691"/>
    <w:rsid w:val="005B7345"/>
    <w:rsid w:val="005C2475"/>
    <w:rsid w:val="005C7A45"/>
    <w:rsid w:val="006015AB"/>
    <w:rsid w:val="00612B2B"/>
    <w:rsid w:val="00614DB1"/>
    <w:rsid w:val="00615C22"/>
    <w:rsid w:val="0063296C"/>
    <w:rsid w:val="00650130"/>
    <w:rsid w:val="00655521"/>
    <w:rsid w:val="00663FFF"/>
    <w:rsid w:val="00665BB6"/>
    <w:rsid w:val="0068284F"/>
    <w:rsid w:val="006A2074"/>
    <w:rsid w:val="006A2F68"/>
    <w:rsid w:val="006B3BDF"/>
    <w:rsid w:val="006B6FA5"/>
    <w:rsid w:val="006C11FF"/>
    <w:rsid w:val="006C18CF"/>
    <w:rsid w:val="006C1F97"/>
    <w:rsid w:val="006F1B2F"/>
    <w:rsid w:val="007012BF"/>
    <w:rsid w:val="00704BFB"/>
    <w:rsid w:val="007140A5"/>
    <w:rsid w:val="00720C60"/>
    <w:rsid w:val="0072551E"/>
    <w:rsid w:val="007505F7"/>
    <w:rsid w:val="00754AA8"/>
    <w:rsid w:val="00755687"/>
    <w:rsid w:val="007754DA"/>
    <w:rsid w:val="00795299"/>
    <w:rsid w:val="007A4DC1"/>
    <w:rsid w:val="007B1A1A"/>
    <w:rsid w:val="007B1C3D"/>
    <w:rsid w:val="007B3EFB"/>
    <w:rsid w:val="007B7F31"/>
    <w:rsid w:val="007C35CD"/>
    <w:rsid w:val="007C7FC6"/>
    <w:rsid w:val="007D110D"/>
    <w:rsid w:val="007D2EEE"/>
    <w:rsid w:val="007D513A"/>
    <w:rsid w:val="007D5CFD"/>
    <w:rsid w:val="007E1A3D"/>
    <w:rsid w:val="007E2E7F"/>
    <w:rsid w:val="007F182E"/>
    <w:rsid w:val="007F4768"/>
    <w:rsid w:val="00822E70"/>
    <w:rsid w:val="0082398F"/>
    <w:rsid w:val="00823AC6"/>
    <w:rsid w:val="008363CD"/>
    <w:rsid w:val="00837DE2"/>
    <w:rsid w:val="008578B2"/>
    <w:rsid w:val="008653F6"/>
    <w:rsid w:val="00865F6A"/>
    <w:rsid w:val="008660CB"/>
    <w:rsid w:val="00871FCE"/>
    <w:rsid w:val="00893E09"/>
    <w:rsid w:val="00895898"/>
    <w:rsid w:val="00896FB8"/>
    <w:rsid w:val="008A4B76"/>
    <w:rsid w:val="008A6534"/>
    <w:rsid w:val="008C6919"/>
    <w:rsid w:val="008D1B1D"/>
    <w:rsid w:val="008D5C5C"/>
    <w:rsid w:val="008D7147"/>
    <w:rsid w:val="008E7C39"/>
    <w:rsid w:val="008F1037"/>
    <w:rsid w:val="00905C42"/>
    <w:rsid w:val="00916076"/>
    <w:rsid w:val="009169D8"/>
    <w:rsid w:val="00921333"/>
    <w:rsid w:val="009276DC"/>
    <w:rsid w:val="009327DC"/>
    <w:rsid w:val="00951F1D"/>
    <w:rsid w:val="00954837"/>
    <w:rsid w:val="009622F7"/>
    <w:rsid w:val="00986498"/>
    <w:rsid w:val="00991BBC"/>
    <w:rsid w:val="009C10C1"/>
    <w:rsid w:val="009C46BC"/>
    <w:rsid w:val="00A01349"/>
    <w:rsid w:val="00A24EEA"/>
    <w:rsid w:val="00A502BF"/>
    <w:rsid w:val="00A52577"/>
    <w:rsid w:val="00A77FC4"/>
    <w:rsid w:val="00A90FF1"/>
    <w:rsid w:val="00A92164"/>
    <w:rsid w:val="00AA10F4"/>
    <w:rsid w:val="00AA386C"/>
    <w:rsid w:val="00AA4CBC"/>
    <w:rsid w:val="00AB3390"/>
    <w:rsid w:val="00AB4EDC"/>
    <w:rsid w:val="00AB59CB"/>
    <w:rsid w:val="00AB646F"/>
    <w:rsid w:val="00AC0FB8"/>
    <w:rsid w:val="00AC3E23"/>
    <w:rsid w:val="00AC7B61"/>
    <w:rsid w:val="00AE6243"/>
    <w:rsid w:val="00AF12F4"/>
    <w:rsid w:val="00AF263F"/>
    <w:rsid w:val="00AF3354"/>
    <w:rsid w:val="00B00C48"/>
    <w:rsid w:val="00B02CB6"/>
    <w:rsid w:val="00B05A6C"/>
    <w:rsid w:val="00B1272E"/>
    <w:rsid w:val="00B31680"/>
    <w:rsid w:val="00B33145"/>
    <w:rsid w:val="00B336E3"/>
    <w:rsid w:val="00B3669C"/>
    <w:rsid w:val="00B50B91"/>
    <w:rsid w:val="00B80119"/>
    <w:rsid w:val="00B817AA"/>
    <w:rsid w:val="00B8427B"/>
    <w:rsid w:val="00B91435"/>
    <w:rsid w:val="00B94240"/>
    <w:rsid w:val="00BA35BD"/>
    <w:rsid w:val="00BB403F"/>
    <w:rsid w:val="00BB59FA"/>
    <w:rsid w:val="00BD4002"/>
    <w:rsid w:val="00BE73EB"/>
    <w:rsid w:val="00C01739"/>
    <w:rsid w:val="00C0180C"/>
    <w:rsid w:val="00C26EC7"/>
    <w:rsid w:val="00C51E64"/>
    <w:rsid w:val="00C6171C"/>
    <w:rsid w:val="00C63110"/>
    <w:rsid w:val="00C71768"/>
    <w:rsid w:val="00C82F43"/>
    <w:rsid w:val="00C84487"/>
    <w:rsid w:val="00C86325"/>
    <w:rsid w:val="00CC2089"/>
    <w:rsid w:val="00CC547D"/>
    <w:rsid w:val="00CE4198"/>
    <w:rsid w:val="00CE566C"/>
    <w:rsid w:val="00CE6521"/>
    <w:rsid w:val="00CF48CD"/>
    <w:rsid w:val="00D013D6"/>
    <w:rsid w:val="00D14978"/>
    <w:rsid w:val="00D22E5B"/>
    <w:rsid w:val="00D334A5"/>
    <w:rsid w:val="00D40661"/>
    <w:rsid w:val="00D471DA"/>
    <w:rsid w:val="00D47F69"/>
    <w:rsid w:val="00D5689B"/>
    <w:rsid w:val="00D63525"/>
    <w:rsid w:val="00D64595"/>
    <w:rsid w:val="00D73F49"/>
    <w:rsid w:val="00D93609"/>
    <w:rsid w:val="00D941A6"/>
    <w:rsid w:val="00D95F0B"/>
    <w:rsid w:val="00DA54F5"/>
    <w:rsid w:val="00DB3492"/>
    <w:rsid w:val="00DB4328"/>
    <w:rsid w:val="00DB50F3"/>
    <w:rsid w:val="00DB5CA7"/>
    <w:rsid w:val="00DC06F6"/>
    <w:rsid w:val="00DC4A44"/>
    <w:rsid w:val="00DD3A67"/>
    <w:rsid w:val="00DD5D42"/>
    <w:rsid w:val="00DE6F4B"/>
    <w:rsid w:val="00DE7B2B"/>
    <w:rsid w:val="00DF5204"/>
    <w:rsid w:val="00E00420"/>
    <w:rsid w:val="00E10724"/>
    <w:rsid w:val="00E23F7F"/>
    <w:rsid w:val="00E30A77"/>
    <w:rsid w:val="00E321F2"/>
    <w:rsid w:val="00E406A7"/>
    <w:rsid w:val="00E4286F"/>
    <w:rsid w:val="00E4483B"/>
    <w:rsid w:val="00E478CC"/>
    <w:rsid w:val="00E553CC"/>
    <w:rsid w:val="00E562A7"/>
    <w:rsid w:val="00E7069A"/>
    <w:rsid w:val="00E77EBC"/>
    <w:rsid w:val="00E84287"/>
    <w:rsid w:val="00E85109"/>
    <w:rsid w:val="00E96AF9"/>
    <w:rsid w:val="00EA097A"/>
    <w:rsid w:val="00EA3F85"/>
    <w:rsid w:val="00EB1CA4"/>
    <w:rsid w:val="00EB5A0F"/>
    <w:rsid w:val="00EB63B5"/>
    <w:rsid w:val="00EB728C"/>
    <w:rsid w:val="00EC37EA"/>
    <w:rsid w:val="00EC5CE2"/>
    <w:rsid w:val="00ED0A29"/>
    <w:rsid w:val="00ED52D4"/>
    <w:rsid w:val="00EE0D67"/>
    <w:rsid w:val="00EF2587"/>
    <w:rsid w:val="00F22F49"/>
    <w:rsid w:val="00F23F12"/>
    <w:rsid w:val="00F25931"/>
    <w:rsid w:val="00F379AD"/>
    <w:rsid w:val="00F46630"/>
    <w:rsid w:val="00F82872"/>
    <w:rsid w:val="00FA1275"/>
    <w:rsid w:val="00FA7842"/>
    <w:rsid w:val="00FB5FF2"/>
    <w:rsid w:val="00FC47D6"/>
    <w:rsid w:val="00FC795A"/>
    <w:rsid w:val="00FD1068"/>
    <w:rsid w:val="00FD2917"/>
    <w:rsid w:val="00FD7DF7"/>
    <w:rsid w:val="00FE3AE1"/>
    <w:rsid w:val="00FF65A0"/>
    <w:rsid w:val="0F1B74B0"/>
    <w:rsid w:val="426F5BB4"/>
    <w:rsid w:val="4E22508A"/>
    <w:rsid w:val="55D1125B"/>
    <w:rsid w:val="576957C7"/>
    <w:rsid w:val="69C563EB"/>
    <w:rsid w:val="6F771B7A"/>
    <w:rsid w:val="767EFB80"/>
    <w:rsid w:val="7F7F1578"/>
    <w:rsid w:val="EFDA1228"/>
    <w:rsid w:val="F5EF75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pPr>
    <w:rPr>
      <w:rFonts w:ascii="Times New Roman" w:hAnsi="Times New Roman" w:eastAsia="宋体" w:cs="Times New Roman"/>
      <w:sz w:val="24"/>
      <w:lang w:val="en-US" w:eastAsia="zh-CN" w:bidi="ar-SA"/>
    </w:rPr>
  </w:style>
  <w:style w:type="paragraph" w:styleId="2">
    <w:name w:val="heading 1"/>
    <w:basedOn w:val="3"/>
    <w:next w:val="1"/>
    <w:link w:val="25"/>
    <w:qFormat/>
    <w:uiPriority w:val="9"/>
    <w:pPr>
      <w:outlineLvl w:val="0"/>
    </w:pPr>
    <w:rPr>
      <w:sz w:val="44"/>
    </w:rPr>
  </w:style>
  <w:style w:type="paragraph" w:styleId="3">
    <w:name w:val="heading 2"/>
    <w:basedOn w:val="4"/>
    <w:next w:val="1"/>
    <w:link w:val="24"/>
    <w:qFormat/>
    <w:uiPriority w:val="0"/>
    <w:pPr>
      <w:outlineLvl w:val="1"/>
    </w:pPr>
  </w:style>
  <w:style w:type="paragraph" w:styleId="4">
    <w:name w:val="heading 3"/>
    <w:basedOn w:val="5"/>
    <w:next w:val="1"/>
    <w:link w:val="26"/>
    <w:qFormat/>
    <w:uiPriority w:val="0"/>
    <w:pPr>
      <w:autoSpaceDE/>
      <w:autoSpaceDN/>
      <w:adjustRightInd/>
      <w:ind w:left="0" w:leftChars="0" w:firstLine="600" w:firstLineChars="200"/>
      <w:outlineLvl w:val="2"/>
    </w:pPr>
    <w:rPr>
      <w:rFonts w:ascii="黑体" w:hAnsi="黑体" w:eastAsia="黑体"/>
      <w:smallCaps/>
      <w:kern w:val="2"/>
      <w:sz w:val="30"/>
      <w:szCs w:val="30"/>
    </w:rPr>
  </w:style>
  <w:style w:type="character" w:default="1" w:styleId="15">
    <w:name w:val="Default Paragraph Font"/>
    <w:semiHidden/>
    <w:unhideWhenUsed/>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5">
    <w:name w:val="toc 2"/>
    <w:basedOn w:val="1"/>
    <w:next w:val="1"/>
    <w:semiHidden/>
    <w:unhideWhenUsed/>
    <w:qFormat/>
    <w:uiPriority w:val="39"/>
    <w:pPr>
      <w:ind w:left="420" w:leftChars="200"/>
    </w:pPr>
  </w:style>
  <w:style w:type="paragraph" w:styleId="6">
    <w:name w:val="annotation text"/>
    <w:basedOn w:val="1"/>
    <w:link w:val="28"/>
    <w:semiHidden/>
    <w:unhideWhenUsed/>
    <w:qFormat/>
    <w:uiPriority w:val="99"/>
  </w:style>
  <w:style w:type="paragraph" w:styleId="7">
    <w:name w:val="Body Text"/>
    <w:basedOn w:val="1"/>
    <w:link w:val="19"/>
    <w:qFormat/>
    <w:uiPriority w:val="0"/>
    <w:pPr>
      <w:ind w:left="106"/>
    </w:pPr>
    <w:rPr>
      <w:rFonts w:hint="eastAsia" w:ascii="仿宋" w:hAnsi="仿宋" w:eastAsia="仿宋"/>
      <w:sz w:val="30"/>
    </w:rPr>
  </w:style>
  <w:style w:type="paragraph" w:styleId="8">
    <w:name w:val="Balloon Text"/>
    <w:basedOn w:val="1"/>
    <w:link w:val="22"/>
    <w:semiHidden/>
    <w:unhideWhenUsed/>
    <w:qFormat/>
    <w:uiPriority w:val="99"/>
    <w:rPr>
      <w:sz w:val="18"/>
      <w:szCs w:val="18"/>
    </w:rPr>
  </w:style>
  <w:style w:type="paragraph" w:styleId="9">
    <w:name w:val="footer"/>
    <w:basedOn w:val="1"/>
    <w:link w:val="18"/>
    <w:unhideWhenUsed/>
    <w:qFormat/>
    <w:uiPriority w:val="99"/>
    <w:pPr>
      <w:tabs>
        <w:tab w:val="center" w:pos="4153"/>
        <w:tab w:val="right" w:pos="8306"/>
      </w:tabs>
      <w:snapToGrid w:val="0"/>
    </w:pPr>
    <w:rPr>
      <w:sz w:val="18"/>
      <w:szCs w:val="18"/>
    </w:rPr>
  </w:style>
  <w:style w:type="paragraph" w:styleId="10">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semiHidden/>
    <w:unhideWhenUsed/>
    <w:qFormat/>
    <w:uiPriority w:val="39"/>
  </w:style>
  <w:style w:type="paragraph" w:styleId="12">
    <w:name w:val="Title"/>
    <w:basedOn w:val="7"/>
    <w:next w:val="1"/>
    <w:link w:val="23"/>
    <w:qFormat/>
    <w:uiPriority w:val="0"/>
    <w:pPr>
      <w:autoSpaceDE/>
      <w:autoSpaceDN/>
      <w:adjustRightInd/>
      <w:spacing w:after="120"/>
      <w:ind w:left="0"/>
      <w:jc w:val="center"/>
    </w:pPr>
    <w:rPr>
      <w:rFonts w:hint="default" w:ascii="仿宋_GB2312" w:eastAsia="仿宋_GB2312"/>
      <w:kern w:val="2"/>
      <w:sz w:val="21"/>
      <w:szCs w:val="24"/>
    </w:rPr>
  </w:style>
  <w:style w:type="paragraph" w:styleId="13">
    <w:name w:val="annotation subject"/>
    <w:basedOn w:val="6"/>
    <w:next w:val="6"/>
    <w:link w:val="29"/>
    <w:semiHidden/>
    <w:unhideWhenUsed/>
    <w:qFormat/>
    <w:uiPriority w:val="99"/>
    <w:rPr>
      <w:b/>
      <w:bCs/>
    </w:rPr>
  </w:style>
  <w:style w:type="character" w:styleId="16">
    <w:name w:val="annotation reference"/>
    <w:basedOn w:val="15"/>
    <w:semiHidden/>
    <w:unhideWhenUsed/>
    <w:qFormat/>
    <w:uiPriority w:val="99"/>
    <w:rPr>
      <w:sz w:val="21"/>
      <w:szCs w:val="21"/>
    </w:rPr>
  </w:style>
  <w:style w:type="character" w:customStyle="1" w:styleId="17">
    <w:name w:val="页眉 字符"/>
    <w:basedOn w:val="15"/>
    <w:link w:val="10"/>
    <w:qFormat/>
    <w:uiPriority w:val="99"/>
    <w:rPr>
      <w:sz w:val="18"/>
      <w:szCs w:val="18"/>
    </w:rPr>
  </w:style>
  <w:style w:type="character" w:customStyle="1" w:styleId="18">
    <w:name w:val="页脚 字符"/>
    <w:basedOn w:val="15"/>
    <w:link w:val="9"/>
    <w:qFormat/>
    <w:uiPriority w:val="99"/>
    <w:rPr>
      <w:sz w:val="18"/>
      <w:szCs w:val="18"/>
    </w:rPr>
  </w:style>
  <w:style w:type="character" w:customStyle="1" w:styleId="19">
    <w:name w:val="正文文本 字符"/>
    <w:basedOn w:val="15"/>
    <w:link w:val="7"/>
    <w:qFormat/>
    <w:uiPriority w:val="0"/>
    <w:rPr>
      <w:rFonts w:ascii="仿宋" w:hAnsi="仿宋" w:eastAsia="仿宋" w:cs="Times New Roman"/>
      <w:kern w:val="0"/>
      <w:sz w:val="30"/>
      <w:szCs w:val="20"/>
    </w:rPr>
  </w:style>
  <w:style w:type="paragraph" w:styleId="20">
    <w:name w:val="List Paragraph"/>
    <w:basedOn w:val="1"/>
    <w:qFormat/>
    <w:uiPriority w:val="34"/>
    <w:pPr>
      <w:ind w:firstLine="420" w:firstLineChars="200"/>
    </w:pPr>
  </w:style>
  <w:style w:type="paragraph" w:customStyle="1" w:styleId="21">
    <w:name w:val="修订1"/>
    <w:hidden/>
    <w:semiHidden/>
    <w:qFormat/>
    <w:uiPriority w:val="99"/>
    <w:rPr>
      <w:rFonts w:ascii="Times New Roman" w:hAnsi="Times New Roman" w:eastAsia="宋体" w:cs="Times New Roman"/>
      <w:sz w:val="24"/>
      <w:lang w:val="en-US" w:eastAsia="zh-CN" w:bidi="ar-SA"/>
    </w:rPr>
  </w:style>
  <w:style w:type="character" w:customStyle="1" w:styleId="22">
    <w:name w:val="批注框文本 字符"/>
    <w:basedOn w:val="15"/>
    <w:link w:val="8"/>
    <w:semiHidden/>
    <w:qFormat/>
    <w:uiPriority w:val="99"/>
    <w:rPr>
      <w:rFonts w:ascii="Times New Roman" w:hAnsi="Times New Roman" w:eastAsia="宋体" w:cs="Times New Roman"/>
      <w:sz w:val="18"/>
      <w:szCs w:val="18"/>
    </w:rPr>
  </w:style>
  <w:style w:type="character" w:customStyle="1" w:styleId="23">
    <w:name w:val="标题 字符"/>
    <w:basedOn w:val="15"/>
    <w:link w:val="12"/>
    <w:qFormat/>
    <w:uiPriority w:val="0"/>
    <w:rPr>
      <w:rFonts w:ascii="仿宋_GB2312" w:hAnsi="仿宋" w:eastAsia="仿宋_GB2312" w:cs="Times New Roman"/>
      <w:kern w:val="2"/>
      <w:sz w:val="21"/>
      <w:szCs w:val="24"/>
    </w:rPr>
  </w:style>
  <w:style w:type="character" w:customStyle="1" w:styleId="24">
    <w:name w:val="标题 2 字符"/>
    <w:basedOn w:val="15"/>
    <w:link w:val="3"/>
    <w:qFormat/>
    <w:uiPriority w:val="0"/>
    <w:rPr>
      <w:rFonts w:ascii="黑体" w:hAnsi="黑体" w:eastAsia="黑体" w:cs="Times New Roman"/>
      <w:smallCaps/>
      <w:kern w:val="2"/>
      <w:sz w:val="30"/>
      <w:szCs w:val="30"/>
    </w:rPr>
  </w:style>
  <w:style w:type="character" w:customStyle="1" w:styleId="25">
    <w:name w:val="标题 1 字符"/>
    <w:basedOn w:val="15"/>
    <w:link w:val="2"/>
    <w:qFormat/>
    <w:uiPriority w:val="9"/>
    <w:rPr>
      <w:rFonts w:ascii="黑体" w:hAnsi="黑体" w:eastAsia="黑体" w:cs="Times New Roman"/>
      <w:bCs/>
      <w:caps/>
      <w:kern w:val="2"/>
      <w:sz w:val="44"/>
      <w:szCs w:val="32"/>
    </w:rPr>
  </w:style>
  <w:style w:type="character" w:customStyle="1" w:styleId="26">
    <w:name w:val="标题 3 字符"/>
    <w:basedOn w:val="15"/>
    <w:link w:val="4"/>
    <w:qFormat/>
    <w:uiPriority w:val="0"/>
    <w:rPr>
      <w:rFonts w:ascii="黑体" w:hAnsi="黑体" w:eastAsia="黑体" w:cs="Times New Roman"/>
      <w:smallCaps/>
      <w:kern w:val="2"/>
      <w:sz w:val="30"/>
      <w:szCs w:val="30"/>
    </w:rPr>
  </w:style>
  <w:style w:type="paragraph" w:customStyle="1" w:styleId="27">
    <w:name w:val="修订2"/>
    <w:hidden/>
    <w:semiHidden/>
    <w:qFormat/>
    <w:uiPriority w:val="99"/>
    <w:rPr>
      <w:rFonts w:ascii="Times New Roman" w:hAnsi="Times New Roman" w:eastAsia="宋体" w:cs="Times New Roman"/>
      <w:sz w:val="24"/>
      <w:lang w:val="en-US" w:eastAsia="zh-CN" w:bidi="ar-SA"/>
    </w:rPr>
  </w:style>
  <w:style w:type="character" w:customStyle="1" w:styleId="28">
    <w:name w:val="批注文字 字符"/>
    <w:basedOn w:val="15"/>
    <w:link w:val="6"/>
    <w:semiHidden/>
    <w:qFormat/>
    <w:uiPriority w:val="99"/>
    <w:rPr>
      <w:rFonts w:ascii="Times New Roman" w:hAnsi="Times New Roman" w:eastAsia="宋体" w:cs="Times New Roman"/>
      <w:sz w:val="24"/>
    </w:rPr>
  </w:style>
  <w:style w:type="character" w:customStyle="1" w:styleId="29">
    <w:name w:val="批注主题 字符"/>
    <w:basedOn w:val="28"/>
    <w:link w:val="13"/>
    <w:semiHidden/>
    <w:qFormat/>
    <w:uiPriority w:val="99"/>
    <w:rPr>
      <w:rFonts w:ascii="Times New Roman" w:hAnsi="Times New Roman" w:eastAsia="宋体" w:cs="Times New Roman"/>
      <w:b/>
      <w:bCs/>
      <w:sz w:val="24"/>
    </w:rPr>
  </w:style>
  <w:style w:type="paragraph" w:customStyle="1" w:styleId="30">
    <w:name w:val="Revision"/>
    <w:hidden/>
    <w:unhideWhenUsed/>
    <w:uiPriority w:val="99"/>
    <w:rPr>
      <w:rFonts w:ascii="Times New Roman" w:hAnsi="Times New Roman" w:eastAsia="宋体" w:cs="Times New Roman"/>
      <w:sz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3.bin"/><Relationship Id="rId8" Type="http://schemas.openxmlformats.org/officeDocument/2006/relationships/image" Target="media/image2.wmf"/><Relationship Id="rId7" Type="http://schemas.openxmlformats.org/officeDocument/2006/relationships/oleObject" Target="embeddings/oleObject2.bin"/><Relationship Id="rId6" Type="http://schemas.openxmlformats.org/officeDocument/2006/relationships/image" Target="media/image1.w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7" Type="http://schemas.openxmlformats.org/officeDocument/2006/relationships/fontTable" Target="fontTable.xml"/><Relationship Id="rId26" Type="http://schemas.openxmlformats.org/officeDocument/2006/relationships/image" Target="media/image11.wmf"/><Relationship Id="rId25" Type="http://schemas.openxmlformats.org/officeDocument/2006/relationships/oleObject" Target="embeddings/oleObject11.bin"/><Relationship Id="rId24" Type="http://schemas.openxmlformats.org/officeDocument/2006/relationships/image" Target="media/image10.wmf"/><Relationship Id="rId23" Type="http://schemas.openxmlformats.org/officeDocument/2006/relationships/oleObject" Target="embeddings/oleObject10.bin"/><Relationship Id="rId22" Type="http://schemas.openxmlformats.org/officeDocument/2006/relationships/image" Target="media/image9.wmf"/><Relationship Id="rId21" Type="http://schemas.openxmlformats.org/officeDocument/2006/relationships/oleObject" Target="embeddings/oleObject9.bin"/><Relationship Id="rId20" Type="http://schemas.openxmlformats.org/officeDocument/2006/relationships/image" Target="media/image8.wmf"/><Relationship Id="rId2" Type="http://schemas.openxmlformats.org/officeDocument/2006/relationships/settings" Target="settings.xml"/><Relationship Id="rId19" Type="http://schemas.openxmlformats.org/officeDocument/2006/relationships/oleObject" Target="embeddings/oleObject8.bin"/><Relationship Id="rId18" Type="http://schemas.openxmlformats.org/officeDocument/2006/relationships/image" Target="media/image7.wmf"/><Relationship Id="rId17" Type="http://schemas.openxmlformats.org/officeDocument/2006/relationships/oleObject" Target="embeddings/oleObject7.bin"/><Relationship Id="rId16" Type="http://schemas.openxmlformats.org/officeDocument/2006/relationships/image" Target="media/image6.wmf"/><Relationship Id="rId15" Type="http://schemas.openxmlformats.org/officeDocument/2006/relationships/oleObject" Target="embeddings/oleObject6.bin"/><Relationship Id="rId14" Type="http://schemas.openxmlformats.org/officeDocument/2006/relationships/image" Target="media/image5.wmf"/><Relationship Id="rId13" Type="http://schemas.openxmlformats.org/officeDocument/2006/relationships/oleObject" Target="embeddings/oleObject5.bin"/><Relationship Id="rId12" Type="http://schemas.openxmlformats.org/officeDocument/2006/relationships/image" Target="media/image4.wmf"/><Relationship Id="rId11" Type="http://schemas.openxmlformats.org/officeDocument/2006/relationships/oleObject" Target="embeddings/oleObject4.bin"/><Relationship Id="rId10" Type="http://schemas.openxmlformats.org/officeDocument/2006/relationships/image" Target="media/image3.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877</Words>
  <Characters>5002</Characters>
  <Lines>41</Lines>
  <Paragraphs>11</Paragraphs>
  <TotalTime>147</TotalTime>
  <ScaleCrop>false</ScaleCrop>
  <LinksUpToDate>false</LinksUpToDate>
  <CharactersWithSpaces>5868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2023-10-22T12:34:00Z</dcterms:created>
  <dc:creator>liu xiao</dc:creator>
  <cp:lastModifiedBy>李岳蒙</cp:lastModifiedBy>
  <dcterms:modified xsi:type="dcterms:W3CDTF">2023-10-31T12:03:49Z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26770F7D47214E038F386A62DAFC102D</vt:lpwstr>
  </property>
</Properties>
</file>