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34A1" w14:textId="7E2A88EB" w:rsidR="00F84386" w:rsidRDefault="00CC5C3C">
      <w:pPr>
        <w:pStyle w:val="ab"/>
        <w:jc w:val="left"/>
        <w:rPr>
          <w:rFonts w:ascii="黑体" w:eastAsia="黑体" w:hAnsi="黑体" w:cs="黑体"/>
          <w:sz w:val="32"/>
          <w:szCs w:val="30"/>
        </w:rPr>
      </w:pPr>
      <w:r w:rsidRPr="00A61943">
        <w:rPr>
          <w:rFonts w:ascii="黑体" w:eastAsia="黑体" w:hAnsi="黑体" w:cs="黑体" w:hint="eastAsia"/>
          <w:sz w:val="32"/>
          <w:szCs w:val="30"/>
        </w:rPr>
        <w:t>附件</w:t>
      </w:r>
      <w:r w:rsidRPr="00A61943">
        <w:rPr>
          <w:rFonts w:ascii="黑体" w:eastAsia="黑体" w:hAnsi="黑体" w:cs="黑体"/>
          <w:sz w:val="32"/>
          <w:szCs w:val="30"/>
        </w:rPr>
        <w:t>4</w:t>
      </w:r>
    </w:p>
    <w:p w14:paraId="395ED663" w14:textId="77777777" w:rsidR="00F84386" w:rsidRPr="00A61943" w:rsidRDefault="00F84386"/>
    <w:p w14:paraId="06535BE6" w14:textId="77777777" w:rsidR="00F84386" w:rsidRPr="00A61943" w:rsidRDefault="00CC5C3C">
      <w:pPr>
        <w:pStyle w:val="1"/>
        <w:rPr>
          <w:rFonts w:ascii="方正小标宋简体" w:eastAsia="方正小标宋简体" w:hAnsi="方正小标宋简体" w:cs="方正小标宋简体"/>
        </w:rPr>
      </w:pPr>
      <w:r w:rsidRPr="00A61943">
        <w:rPr>
          <w:rFonts w:ascii="方正小标宋简体" w:eastAsia="方正小标宋简体" w:hAnsi="方正小标宋简体" w:cs="方正小标宋简体" w:hint="eastAsia"/>
        </w:rPr>
        <w:t>信用风险内部评级法风险暴露分类标准</w:t>
      </w:r>
    </w:p>
    <w:p w14:paraId="46F9486B" w14:textId="77777777" w:rsidR="00F84386" w:rsidRDefault="00F84386">
      <w:pPr>
        <w:spacing w:line="480" w:lineRule="exact"/>
        <w:ind w:firstLine="600"/>
        <w:rPr>
          <w:rFonts w:ascii="黑体" w:eastAsia="黑体" w:hAnsi="Calibri"/>
          <w:bCs/>
          <w:sz w:val="30"/>
          <w:szCs w:val="30"/>
        </w:rPr>
      </w:pPr>
    </w:p>
    <w:p w14:paraId="645BFDBF" w14:textId="77777777" w:rsidR="00F84386" w:rsidRDefault="00CC5C3C">
      <w:pPr>
        <w:pStyle w:val="3"/>
      </w:pPr>
      <w:r>
        <w:rPr>
          <w:rFonts w:hint="eastAsia"/>
        </w:rPr>
        <w:t>一、银行账簿信用风险暴露分类的政策和程序</w:t>
      </w:r>
    </w:p>
    <w:p w14:paraId="3822702A"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（一）商业银行应制定信用风险内部评级法银行账簿信用风险暴露分类政策，明确开展风险暴露划分与调整的程序和内部控制要求，完善相应的报告制度和</w:t>
      </w:r>
      <w:r w:rsidRPr="00F37793">
        <w:rPr>
          <w:rFonts w:ascii="仿宋_GB2312" w:eastAsia="仿宋_GB2312" w:hint="eastAsia"/>
          <w:sz w:val="30"/>
          <w:szCs w:val="30"/>
        </w:rPr>
        <w:t>信息系</w:t>
      </w:r>
      <w:r w:rsidRPr="00F37793">
        <w:rPr>
          <w:rFonts w:ascii="仿宋_GB2312" w:eastAsia="仿宋_GB2312" w:hAnsi="宋体" w:hint="eastAsia"/>
          <w:sz w:val="30"/>
          <w:szCs w:val="30"/>
        </w:rPr>
        <w:t>统</w:t>
      </w:r>
      <w:r w:rsidRPr="00F37793">
        <w:rPr>
          <w:rFonts w:ascii="仿宋_GB2312" w:eastAsia="仿宋_GB2312" w:hint="eastAsia"/>
          <w:sz w:val="30"/>
          <w:szCs w:val="30"/>
        </w:rPr>
        <w:t>管理</w:t>
      </w:r>
      <w:r>
        <w:rPr>
          <w:rFonts w:ascii="仿宋_GB2312" w:eastAsia="仿宋_GB2312" w:hint="eastAsia"/>
          <w:sz w:val="30"/>
          <w:szCs w:val="30"/>
        </w:rPr>
        <w:t>。</w:t>
      </w:r>
    </w:p>
    <w:p w14:paraId="1C35C4B1" w14:textId="108108E1"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（二）商业银行应结合本行的管理架构、资产结构和风险特征确定内部评级法风险暴露分类的标准和流程。商业银行分类标准与本办法要求不一致的，</w:t>
      </w:r>
      <w:r w:rsidR="00D253C4" w:rsidRPr="00F37793">
        <w:rPr>
          <w:rFonts w:ascii="仿宋_GB2312" w:eastAsia="仿宋_GB2312" w:hint="eastAsia"/>
          <w:sz w:val="30"/>
          <w:szCs w:val="30"/>
        </w:rPr>
        <w:t>应</w:t>
      </w:r>
      <w:r>
        <w:rPr>
          <w:rFonts w:ascii="仿宋_GB2312" w:eastAsia="仿宋_GB2312" w:hint="eastAsia"/>
          <w:sz w:val="30"/>
          <w:szCs w:val="30"/>
        </w:rPr>
        <w:t>经国家金融监督管理总局或其派出机构认可。</w:t>
      </w:r>
    </w:p>
    <w:p w14:paraId="55C76E13"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（三）商业银行应指定部门牵头负责全行内部评级法风险暴露分类工作，并由两个相对独立的岗位或部门分别负责风险暴露的划分和认定。</w:t>
      </w:r>
    </w:p>
    <w:p w14:paraId="5ED6BC72"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四）商业银行开展内部评级法风险暴露分类时，应根据不同风险暴露类别的划分标准，将资产划入相应的风险暴露类别。对不符合主权风险暴露、金融机构风险暴露、零售风险暴露、股权风险暴露、其他风险暴露划分标准且存在信用风险的资产，应纳入公司风险暴露处理。</w:t>
      </w:r>
    </w:p>
    <w:p w14:paraId="6F0850AE"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（五）商业银行应根据风险暴露特征的变化，调整内部评级法风险暴露类别。在出现风险暴露类别调整特征后的半年内，商业银行应完成暴露类别的调整。 </w:t>
      </w:r>
    </w:p>
    <w:p w14:paraId="2D0C194D"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（六）商业银行应建立内部评级法风险暴露分类和调整的报告制度，定期向董事会和高管层报告分类状况和风险情况。 </w:t>
      </w:r>
    </w:p>
    <w:p w14:paraId="44335CA4"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（七）商业银行应在相关信息系统中对每笔业务的内部评级法风险暴露类别进行标识。 </w:t>
      </w:r>
    </w:p>
    <w:p w14:paraId="0175C5DD"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（八）商业银行应建立内部评级法风险暴露分类的内部审计制度，对内部评级法风险暴露分类实施情况定期开展审计。</w:t>
      </w:r>
    </w:p>
    <w:p w14:paraId="1E34714D" w14:textId="77777777" w:rsidR="00F84386" w:rsidRDefault="00CC5C3C">
      <w:pPr>
        <w:pStyle w:val="3"/>
      </w:pPr>
      <w:r>
        <w:rPr>
          <w:rFonts w:hint="eastAsia"/>
        </w:rPr>
        <w:t>二、主权风险暴露</w:t>
      </w:r>
    </w:p>
    <w:p w14:paraId="6974F348" w14:textId="77777777" w:rsidR="00D4216F"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主权风险暴露是指商业银行对主权国家或经济实体区域及其中央银行、境外公共部门实体、我国</w:t>
      </w:r>
      <w:r>
        <w:rPr>
          <w:rFonts w:ascii="仿宋_GB2312" w:eastAsia="仿宋_GB2312" w:hint="eastAsia"/>
          <w:sz w:val="30"/>
          <w:szCs w:val="30"/>
          <w:lang w:val="zh-TW"/>
        </w:rPr>
        <w:t>开发性金融机构和政策性银行</w:t>
      </w:r>
      <w:r>
        <w:rPr>
          <w:rFonts w:ascii="仿宋_GB2312" w:eastAsia="仿宋_GB2312" w:hint="eastAsia"/>
          <w:sz w:val="30"/>
          <w:szCs w:val="30"/>
        </w:rPr>
        <w:t>、视同我国主权的公共部门实体</w:t>
      </w:r>
      <w:r>
        <w:rPr>
          <w:rFonts w:ascii="仿宋_GB2312" w:eastAsia="仿宋_GB2312"/>
          <w:sz w:val="30"/>
          <w:szCs w:val="30"/>
        </w:rPr>
        <w:t>、</w:t>
      </w:r>
      <w:r>
        <w:rPr>
          <w:rFonts w:ascii="仿宋_GB2312" w:eastAsia="仿宋_GB2312" w:hint="eastAsia"/>
          <w:sz w:val="30"/>
          <w:szCs w:val="30"/>
        </w:rPr>
        <w:t>合格多边开发银行</w:t>
      </w:r>
      <w:r>
        <w:rPr>
          <w:rFonts w:ascii="仿宋_GB2312" w:eastAsia="仿宋_GB2312"/>
          <w:sz w:val="30"/>
          <w:szCs w:val="30"/>
        </w:rPr>
        <w:t>，</w:t>
      </w:r>
      <w:r>
        <w:rPr>
          <w:rFonts w:ascii="仿宋_GB2312" w:eastAsia="仿宋_GB2312" w:hint="eastAsia"/>
          <w:sz w:val="30"/>
          <w:szCs w:val="30"/>
        </w:rPr>
        <w:t>以及国际清算银行、国际货币基金组织、</w:t>
      </w:r>
      <w:r>
        <w:rPr>
          <w:rFonts w:ascii="仿宋_GB2312" w:eastAsia="仿宋_GB2312"/>
          <w:color w:val="000000"/>
          <w:sz w:val="30"/>
          <w:szCs w:val="30"/>
        </w:rPr>
        <w:t>欧洲中央银行、欧盟、欧洲稳定机制和欧洲金融稳定机制</w:t>
      </w:r>
      <w:r>
        <w:rPr>
          <w:rFonts w:ascii="仿宋_GB2312" w:eastAsia="仿宋_GB2312" w:hint="eastAsia"/>
          <w:sz w:val="30"/>
          <w:szCs w:val="30"/>
        </w:rPr>
        <w:t>等的债权。</w:t>
      </w:r>
    </w:p>
    <w:p w14:paraId="49B95945" w14:textId="413E6B1E" w:rsidR="00F84386" w:rsidRDefault="00D253C4" w:rsidP="00D4216F">
      <w:pPr>
        <w:spacing w:line="480" w:lineRule="exact"/>
        <w:ind w:firstLineChars="200" w:firstLine="600"/>
        <w:rPr>
          <w:rFonts w:ascii="仿宋_GB2312" w:eastAsia="仿宋_GB2312"/>
          <w:sz w:val="30"/>
          <w:szCs w:val="30"/>
        </w:rPr>
      </w:pPr>
      <w:r>
        <w:rPr>
          <w:rFonts w:ascii="仿宋_GB2312" w:eastAsia="仿宋_GB2312" w:hint="eastAsia"/>
          <w:sz w:val="30"/>
          <w:szCs w:val="30"/>
        </w:rPr>
        <w:t>境外公共部门实体以其所在国家或地区监管部门认定为准。</w:t>
      </w:r>
      <w:r w:rsidR="00CC5C3C">
        <w:rPr>
          <w:rFonts w:ascii="仿宋_GB2312" w:eastAsia="仿宋_GB2312" w:hint="eastAsia"/>
          <w:sz w:val="30"/>
          <w:szCs w:val="30"/>
        </w:rPr>
        <w:t>视同我国主权的公共部门实体、合格多边开发银行的标准见本办法附件2第三部分（二）、第四部分（二）。</w:t>
      </w:r>
    </w:p>
    <w:p w14:paraId="66A284EE" w14:textId="77777777" w:rsidR="00F84386" w:rsidRDefault="00CC5C3C">
      <w:pPr>
        <w:pStyle w:val="3"/>
      </w:pPr>
      <w:r>
        <w:rPr>
          <w:rFonts w:hint="eastAsia"/>
        </w:rPr>
        <w:t>三、金融机构风险暴露</w:t>
      </w:r>
    </w:p>
    <w:p w14:paraId="03D288A3"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一）金融机构风险暴露是指商业银行对金融机构的债权，但不包括对主权的债权。根据金融机构的不同属性，商业银行应将金融机构风险暴露分为银行类金融机构风险暴露、非银行类金融机构风险暴露和其他多边开发银行风险暴露。</w:t>
      </w:r>
    </w:p>
    <w:p w14:paraId="3ED09774"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其他多边开发银行的标准见本办法附件2第四部分（三）。</w:t>
      </w:r>
    </w:p>
    <w:p w14:paraId="634F067E"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二）银行类金融机构包括在中华人民共和国境内设立的商业银行、农村合作银行、村镇银行、农村信用合作社等吸收公众存款的金融机构，以及在中华人民共和国境外注册并经所在国家或者地区金融监管部门批准的存款类金融机构。</w:t>
      </w:r>
    </w:p>
    <w:p w14:paraId="69B9094E"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三）非银行类金融机构包括经金融监管部门批准设立的证券公司、保险公司、保险资产管理公司、金融资产管理公司、信托公司、企业集团财务公司、金融租赁公司、汽车金融公司、货币经纪公司、消费金融公司、基金公司、理财公司、金融资产投资公司、金融控股公司以及其他受金融监管部门监管的机构。</w:t>
      </w:r>
    </w:p>
    <w:p w14:paraId="7AA6E700" w14:textId="77777777" w:rsidR="00F84386" w:rsidRDefault="00CC5C3C">
      <w:pPr>
        <w:pStyle w:val="3"/>
      </w:pPr>
      <w:r>
        <w:rPr>
          <w:rFonts w:hint="eastAsia"/>
        </w:rPr>
        <w:t>四、公司风险暴露</w:t>
      </w:r>
    </w:p>
    <w:p w14:paraId="6FF8D9E4"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（一）公司风险暴露是指商业银行对公司、合伙制企业和独</w:t>
      </w:r>
      <w:r>
        <w:rPr>
          <w:rFonts w:ascii="仿宋_GB2312" w:eastAsia="仿宋_GB2312" w:hint="eastAsia"/>
          <w:sz w:val="30"/>
          <w:szCs w:val="30"/>
        </w:rPr>
        <w:lastRenderedPageBreak/>
        <w:t>资企业及其他非自然人的债权，但不包括对主权、金融机构和纳入零售风险暴露的债权。</w:t>
      </w:r>
    </w:p>
    <w:p w14:paraId="38CBF970"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（二）根据债务人类型及其风险特征，公司风险暴露分为中小企业风险暴露、专业贷款和一般公司风险暴露。</w:t>
      </w:r>
    </w:p>
    <w:p w14:paraId="042D100A"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（三）中小企业风险暴露是指商业银行对年营业收入（近3年营业收入的算术平均值）不超过3亿元人民币且符合国家相关部门规定的中型、小型和微型企业认定标准的企业的债权。</w:t>
      </w:r>
    </w:p>
    <w:p w14:paraId="4FCCF4A6"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（四）专业贷款是指公司风险暴露中同时具有如下特征的债权：</w:t>
      </w:r>
    </w:p>
    <w:p w14:paraId="04D253CF" w14:textId="12A02D67"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.债务人通常是一个专门为实物资产融资或运作实物资产而设立的特殊目的实体。</w:t>
      </w:r>
    </w:p>
    <w:p w14:paraId="13E5D4F7" w14:textId="25FA712E"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.债务人基本没有其他实质性资产或业务，除了从被融资资产中获得的收入外，没有独立偿还债务的能力。</w:t>
      </w:r>
    </w:p>
    <w:p w14:paraId="7327B403" w14:textId="13D4C45C"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.合同安排给予贷款银行对融资形成的资产及其所产生的收入有相当程度的控制权。</w:t>
      </w:r>
    </w:p>
    <w:p w14:paraId="5531BE57"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（五）专业贷款划分为项目融资、物品融资、商品融资和产生收入的房地产贷款。</w:t>
      </w:r>
    </w:p>
    <w:p w14:paraId="705FF521"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（六）项目融资除符合专业贷款的特征外，还应同时具有如下特征：</w:t>
      </w:r>
    </w:p>
    <w:p w14:paraId="2C4BF7EA" w14:textId="647DBE4F"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.融资用途通常是用于建造一个或一组大型生产装置或基础设施项目，包括对在建或已建项目的再融资。</w:t>
      </w:r>
    </w:p>
    <w:p w14:paraId="79728879" w14:textId="1CF449E4"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.债务人通常是为建设、经营该项目或为该项目融资而专门组建的企事业法人。</w:t>
      </w:r>
    </w:p>
    <w:p w14:paraId="39EA7A33" w14:textId="62C37463"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.还款资金来源主要依赖该项目产生的销售收入、补贴收入或其他收入，一般不具备其他还款来源。</w:t>
      </w:r>
    </w:p>
    <w:p w14:paraId="735ED443"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（七）物品融资除符合专业贷款的特征外，还应同时具有如下特征：</w:t>
      </w:r>
    </w:p>
    <w:p w14:paraId="1801F119" w14:textId="7F54DB85"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.债务人取得融资资金用于购买特定实物资产，如船舶、航空器、轨道交通工具等。</w:t>
      </w:r>
    </w:p>
    <w:p w14:paraId="1D8B0F25" w14:textId="75766A2F"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lastRenderedPageBreak/>
        <w:t>2</w:t>
      </w:r>
      <w:r>
        <w:rPr>
          <w:rFonts w:ascii="仿宋_GB2312" w:eastAsia="仿宋_GB2312" w:hint="eastAsia"/>
          <w:sz w:val="30"/>
          <w:szCs w:val="30"/>
        </w:rPr>
        <w:t>.还款来源主要依靠已用于融资、抵押或交给贷款银行的特殊资产创造的现金流。这些现金流可通过一个或几个与第三方签订的出租或租赁合约实现。</w:t>
      </w:r>
    </w:p>
    <w:p w14:paraId="7AD0C7B8"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（八）商品融资除符合专业贷款的特征外，还应同时具有如下特征：</w:t>
      </w:r>
    </w:p>
    <w:p w14:paraId="368AD069" w14:textId="5AD48A6E"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.为可在交易所交易的商品（如原油、金属或谷物）的储备、存货或应收而进行的结构性短期融资。</w:t>
      </w:r>
    </w:p>
    <w:p w14:paraId="066A1BA6" w14:textId="26CF7375"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.债务人没有其他实质性资产，主要依靠商品销售的收益作为还款来源。</w:t>
      </w:r>
    </w:p>
    <w:p w14:paraId="2FB35811" w14:textId="7F8D0CA4"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.贷款评级主要反映贷款自我清偿的程度及贷款银行组织该笔交易的能力，而不反映债务人的资信水平。</w:t>
      </w:r>
    </w:p>
    <w:p w14:paraId="0E4656D3"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（九）产生收入的房地产贷款除符合专业贷款的特征外，还应同时具有如下特征：</w:t>
      </w:r>
    </w:p>
    <w:p w14:paraId="3B7D9D8A" w14:textId="612AF82C"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.债务人一般是一个专门开发融资项目的公司，也可是从事房地产建设或拥有房地产的运营公司。</w:t>
      </w:r>
    </w:p>
    <w:p w14:paraId="5D119C82" w14:textId="487F8EEB"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.融资用途是房地产（如用于出租的办公室建筑、零售场所、多户的住宅、工业和仓库场所及旅馆）的开发、销售或出租，以及土地整理、开发和储备等。</w:t>
      </w:r>
    </w:p>
    <w:p w14:paraId="07AE1E37" w14:textId="609AAC87"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.还款主要依赖于贷款所形成房地产的租金、销售收入或土地出让收入。</w:t>
      </w:r>
    </w:p>
    <w:p w14:paraId="3DC9E88A" w14:textId="28D9AB1C"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（十）一般公司风险暴露是指除中小企业风险暴露和专业贷款之外的其他公司风险暴露。</w:t>
      </w:r>
    </w:p>
    <w:p w14:paraId="05EAD7B1" w14:textId="77777777" w:rsidR="00F84386" w:rsidRDefault="00CC5C3C">
      <w:pPr>
        <w:pStyle w:val="3"/>
      </w:pPr>
      <w:r>
        <w:rPr>
          <w:rFonts w:hint="eastAsia"/>
        </w:rPr>
        <w:t>五、零售风险暴露</w:t>
      </w:r>
    </w:p>
    <w:p w14:paraId="1D6167D0"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（一）零售风险暴露应同时具有如下特征：</w:t>
      </w:r>
    </w:p>
    <w:p w14:paraId="3CD8471E" w14:textId="41861282"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.债务人是一个或几个自然人。</w:t>
      </w:r>
    </w:p>
    <w:p w14:paraId="502D1859" w14:textId="4F80EE0D"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.笔数多，单笔金额小。</w:t>
      </w:r>
    </w:p>
    <w:p w14:paraId="6D0BEEFD" w14:textId="5064F85A"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.按照组合方式进行管理。</w:t>
      </w:r>
    </w:p>
    <w:p w14:paraId="7DDC45E2"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（二）零售风险暴露分为个人住房抵押贷款、合格循环零售</w:t>
      </w:r>
      <w:r>
        <w:rPr>
          <w:rFonts w:ascii="仿宋_GB2312" w:eastAsia="仿宋_GB2312" w:hint="eastAsia"/>
          <w:sz w:val="30"/>
          <w:szCs w:val="30"/>
        </w:rPr>
        <w:lastRenderedPageBreak/>
        <w:t>风险暴露、其他零售风险暴露三大类。商业银行可以根据自身业务状况和管理实际，在上述基础上做进一步细分。</w:t>
      </w:r>
    </w:p>
    <w:p w14:paraId="0671F78D"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（三）个人住房抵押贷款是指以购买个人住房为目的并以所购房产为抵押的贷款。</w:t>
      </w:r>
    </w:p>
    <w:p w14:paraId="5D3286DB"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（四）合格循环零售风险暴露是指各类可循环使用、无担保、合约规定和实际操作均未指定用途的零售授信。合格循环零售风险暴露中对单一客户最大风险暴露不超过100万元人民币。</w:t>
      </w:r>
    </w:p>
    <w:p w14:paraId="766C66F5"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商业银行应能够证明合格循环零售风险暴露的损失率波动较低，尤其是在低违约概率区间的损失率波动较低。</w:t>
      </w:r>
    </w:p>
    <w:p w14:paraId="37B6B852" w14:textId="0B510A9D"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（五）</w:t>
      </w:r>
      <w:r>
        <w:rPr>
          <w:rFonts w:ascii="仿宋_GB2312" w:eastAsia="仿宋_GB2312"/>
          <w:sz w:val="30"/>
          <w:szCs w:val="30"/>
        </w:rPr>
        <w:t>合格循环零售风险暴露分为</w:t>
      </w:r>
      <w:r w:rsidR="00327598">
        <w:rPr>
          <w:rFonts w:ascii="仿宋_GB2312" w:eastAsia="仿宋_GB2312" w:hint="eastAsia"/>
          <w:sz w:val="30"/>
          <w:szCs w:val="30"/>
        </w:rPr>
        <w:t>合格</w:t>
      </w:r>
      <w:r>
        <w:rPr>
          <w:rFonts w:ascii="仿宋_GB2312" w:eastAsia="仿宋_GB2312"/>
          <w:sz w:val="30"/>
          <w:szCs w:val="30"/>
        </w:rPr>
        <w:t>交易者循环零售风险暴露和</w:t>
      </w:r>
      <w:r>
        <w:rPr>
          <w:rFonts w:ascii="仿宋_GB2312" w:eastAsia="仿宋_GB2312" w:hint="eastAsia"/>
          <w:sz w:val="30"/>
          <w:szCs w:val="30"/>
        </w:rPr>
        <w:t>一般</w:t>
      </w:r>
      <w:r>
        <w:rPr>
          <w:rFonts w:ascii="仿宋_GB2312" w:eastAsia="仿宋_GB2312"/>
          <w:sz w:val="30"/>
          <w:szCs w:val="30"/>
        </w:rPr>
        <w:t>循环零售风险暴露。</w:t>
      </w:r>
    </w:p>
    <w:p w14:paraId="77C9EA3E" w14:textId="19ED3909"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sidR="00EE0482">
        <w:rPr>
          <w:rFonts w:ascii="仿宋_GB2312" w:eastAsia="仿宋_GB2312" w:hint="eastAsia"/>
          <w:sz w:val="30"/>
          <w:szCs w:val="30"/>
        </w:rPr>
        <w:t>合格</w:t>
      </w:r>
      <w:r>
        <w:rPr>
          <w:rFonts w:ascii="仿宋_GB2312" w:eastAsia="仿宋_GB2312"/>
          <w:sz w:val="30"/>
          <w:szCs w:val="30"/>
        </w:rPr>
        <w:t>交易者循环零售风险暴露是指</w:t>
      </w:r>
      <w:r>
        <w:rPr>
          <w:rFonts w:ascii="仿宋_GB2312" w:eastAsia="仿宋_GB2312" w:hint="eastAsia"/>
          <w:sz w:val="30"/>
          <w:szCs w:val="30"/>
        </w:rPr>
        <w:t>在过去三年内最近12个账款金额大于0的账单周期，均按照事先约定的还款规则，在到期日前（含）全额偿还应付款项的信用卡循环</w:t>
      </w:r>
      <w:r w:rsidR="00CD2D87">
        <w:rPr>
          <w:rFonts w:ascii="仿宋_GB2312" w:eastAsia="仿宋_GB2312" w:hint="eastAsia"/>
          <w:sz w:val="30"/>
          <w:szCs w:val="30"/>
        </w:rPr>
        <w:t>零售</w:t>
      </w:r>
      <w:r>
        <w:rPr>
          <w:rFonts w:ascii="仿宋_GB2312" w:eastAsia="仿宋_GB2312" w:hint="eastAsia"/>
          <w:sz w:val="30"/>
          <w:szCs w:val="30"/>
        </w:rPr>
        <w:t>风险暴露。</w:t>
      </w:r>
    </w:p>
    <w:p w14:paraId="182C3F2B" w14:textId="3CB1BFCC"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2.一般</w:t>
      </w:r>
      <w:r>
        <w:rPr>
          <w:rFonts w:ascii="仿宋_GB2312" w:eastAsia="仿宋_GB2312"/>
          <w:sz w:val="30"/>
          <w:szCs w:val="30"/>
        </w:rPr>
        <w:t>循环零售风险暴露</w:t>
      </w:r>
      <w:r>
        <w:rPr>
          <w:rFonts w:ascii="仿宋_GB2312" w:eastAsia="仿宋_GB2312" w:hint="eastAsia"/>
          <w:sz w:val="30"/>
          <w:szCs w:val="30"/>
        </w:rPr>
        <w:t>是指</w:t>
      </w:r>
      <w:r w:rsidR="00EE0482">
        <w:rPr>
          <w:rFonts w:ascii="仿宋_GB2312" w:eastAsia="仿宋_GB2312" w:hint="eastAsia"/>
          <w:sz w:val="30"/>
          <w:szCs w:val="30"/>
        </w:rPr>
        <w:t>合格</w:t>
      </w:r>
      <w:r>
        <w:rPr>
          <w:rFonts w:ascii="仿宋_GB2312" w:eastAsia="仿宋_GB2312"/>
          <w:sz w:val="30"/>
          <w:szCs w:val="30"/>
        </w:rPr>
        <w:t>交易</w:t>
      </w:r>
      <w:r>
        <w:rPr>
          <w:rFonts w:ascii="仿宋_GB2312" w:eastAsia="仿宋_GB2312" w:hint="eastAsia"/>
          <w:sz w:val="30"/>
          <w:szCs w:val="30"/>
        </w:rPr>
        <w:t>者</w:t>
      </w:r>
      <w:r>
        <w:rPr>
          <w:rFonts w:ascii="仿宋_GB2312" w:eastAsia="仿宋_GB2312"/>
          <w:sz w:val="30"/>
          <w:szCs w:val="30"/>
        </w:rPr>
        <w:t>循环零售风险暴露</w:t>
      </w:r>
      <w:r>
        <w:rPr>
          <w:rFonts w:ascii="仿宋_GB2312" w:eastAsia="仿宋_GB2312" w:hint="eastAsia"/>
          <w:sz w:val="30"/>
          <w:szCs w:val="30"/>
        </w:rPr>
        <w:t>之外的其他</w:t>
      </w:r>
      <w:r>
        <w:rPr>
          <w:rFonts w:ascii="仿宋_GB2312" w:eastAsia="仿宋_GB2312"/>
          <w:sz w:val="30"/>
          <w:szCs w:val="30"/>
        </w:rPr>
        <w:t>合格循环零售风险暴露。</w:t>
      </w:r>
    </w:p>
    <w:p w14:paraId="748004CC"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（六）其他零售风险暴露是指除个人住房抵押贷款和合格循环零售风险暴露之外的其他对自然人的债权。</w:t>
      </w:r>
    </w:p>
    <w:p w14:paraId="6E44FE71"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（七）符合本办法附件2第六部分（四）规定的小微企业风险暴露，可纳入其他零售风险暴露。</w:t>
      </w:r>
    </w:p>
    <w:p w14:paraId="67E22A76" w14:textId="77777777" w:rsidR="00F84386" w:rsidRDefault="00CC5C3C">
      <w:pPr>
        <w:pStyle w:val="3"/>
      </w:pPr>
      <w:r>
        <w:rPr>
          <w:rFonts w:hint="eastAsia"/>
        </w:rPr>
        <w:t>六、股权风险暴露</w:t>
      </w:r>
    </w:p>
    <w:p w14:paraId="6A83E2FB"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（一）股权风险暴露是指商业银行直接或间接持有的股东权益。</w:t>
      </w:r>
    </w:p>
    <w:p w14:paraId="60A7A986"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（二）纳入股权风险暴露的金融工具应同时满足如下条件：</w:t>
      </w:r>
    </w:p>
    <w:p w14:paraId="1B1F5A91" w14:textId="0A17D16D"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.持有该项金融工具获取收益的主要来源是未来资本利得，而不是随时间所产生的收益。</w:t>
      </w:r>
    </w:p>
    <w:p w14:paraId="1CE21AD6" w14:textId="4EC9EDAE"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.该项金融工具不可赎回，不属于发行方的债务。</w:t>
      </w:r>
    </w:p>
    <w:p w14:paraId="292C3306" w14:textId="33B0170F"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.对发行方资产或收入具有剩余索取权。</w:t>
      </w:r>
    </w:p>
    <w:p w14:paraId="1FAE3843"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（三）符合下列条件之一的金融工具应划分为股权风险暴露：</w:t>
      </w:r>
    </w:p>
    <w:p w14:paraId="79B115F6" w14:textId="0571750B"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1.与商业银行一级资本具有同样结构的工具。</w:t>
      </w:r>
    </w:p>
    <w:p w14:paraId="19A48457" w14:textId="6CA3CB42"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2.属于发行方债务但符合下列条件之一的金融工具： </w:t>
      </w:r>
    </w:p>
    <w:p w14:paraId="5775CEC0"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（1）发行方可无限期推迟债务清偿。</w:t>
      </w:r>
    </w:p>
    <w:p w14:paraId="5D899116"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（2）债务须由发行方通过发行固定数量的股票来清偿，或允许按照发行方意愿通过发行固定数量的股票来清偿。</w:t>
      </w:r>
    </w:p>
    <w:p w14:paraId="018FE412"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（3）债务须由发行方通过发行不定数量的股票来清偿，或允许按照发行方意愿通过发行不定数量的股票来清偿，且不定数量股票价值变化与债务价值的变动高度相关。</w:t>
      </w:r>
    </w:p>
    <w:p w14:paraId="082D294F" w14:textId="0637732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4）持有方有权要求以股票方式清偿债务，但以下情形除外：对可交易的工具，商业银行能证明且国家金融监督管理总局也认可该工具的交易更具有发行方的债务特征；对不可交易的工具，商业银行能证明且国家金融监督管理总局也认可该工具应作为债务处理。</w:t>
      </w:r>
    </w:p>
    <w:p w14:paraId="479679F7"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（四）股权风险暴露的信用风险加权资产采用权重法计量。</w:t>
      </w:r>
    </w:p>
    <w:p w14:paraId="72D1DBE5" w14:textId="77777777" w:rsidR="00F84386" w:rsidRDefault="00CC5C3C">
      <w:pPr>
        <w:pStyle w:val="3"/>
      </w:pPr>
      <w:r>
        <w:rPr>
          <w:rFonts w:hint="eastAsia"/>
        </w:rPr>
        <w:t>七、其他风险暴露</w:t>
      </w:r>
    </w:p>
    <w:p w14:paraId="77EDDC92"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一）购入应收账款是指销售方将其现在或将来的基于其与买入方订立的商品、产品或劳务销售合同所产生的应收账款，根据契约关系以有追索权或无追索权方式转让给商业银行所形成的资产。购入应收账款可分为合格购入公司应收账款和合格购入零售应收账款。</w:t>
      </w:r>
    </w:p>
    <w:p w14:paraId="7B33BAF5"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（二）合格购入公司应收账款、合格购入零售应收账款均应纳入公司风险暴露，不作为单独一类风险暴露。合格购入公司应收账款应同时满足以下条件：</w:t>
      </w:r>
    </w:p>
    <w:p w14:paraId="0A9834D4" w14:textId="18494EAD"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.销售方与买入方订立的销售合同真实、公平、合法、有效，且销售方能够提供完整的应收账款债权证明。</w:t>
      </w:r>
    </w:p>
    <w:p w14:paraId="0C2F6B2E" w14:textId="4F5BFC78"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.销售方与商业银行之间无任何关联关系，该应收账款不是由商业银行直接或间接发起。</w:t>
      </w:r>
    </w:p>
    <w:p w14:paraId="122F861A" w14:textId="16F15539"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lastRenderedPageBreak/>
        <w:t>3</w:t>
      </w:r>
      <w:r>
        <w:rPr>
          <w:rFonts w:ascii="仿宋_GB2312" w:eastAsia="仿宋_GB2312" w:hint="eastAsia"/>
          <w:sz w:val="30"/>
          <w:szCs w:val="30"/>
        </w:rPr>
        <w:t>.集团公司内部企业之间、关联企业之间发生的应收账款，不属于合格应收账款。</w:t>
      </w:r>
    </w:p>
    <w:p w14:paraId="44384460" w14:textId="435F2614"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.商业银行对所有应收账款的收益或按比例分摊的收益拥有债权。</w:t>
      </w:r>
    </w:p>
    <w:p w14:paraId="3DA3E1CE"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（三）合格购入应收账款纳入内部评级法应满足如下要求：</w:t>
      </w:r>
    </w:p>
    <w:p w14:paraId="531A67E3" w14:textId="344493D9"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.视同单笔公司风险暴露。</w:t>
      </w:r>
    </w:p>
    <w:p w14:paraId="37105751" w14:textId="45E8C9B8"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.评级按贷款处理。</w:t>
      </w:r>
    </w:p>
    <w:p w14:paraId="08F28ED4" w14:textId="0E8F622D" w:rsidR="00F84386" w:rsidRDefault="00CC5C3C">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.商业银行应证明稀释风险影响有限。</w:t>
      </w:r>
    </w:p>
    <w:p w14:paraId="5C5E0AAB"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若不满足上述要求，合格购入应收账款的信用风险加权资产应采用权重法计量。</w:t>
      </w:r>
    </w:p>
    <w:p w14:paraId="1ECC300B"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（四）对于包含不同类别风险暴露的应收账款池，如果商业银行无法区分类别，应采用其中风险权重最高类别的风险权重函数计量该应收账款池的风险加权资产。</w:t>
      </w:r>
    </w:p>
    <w:p w14:paraId="1A5BDB62"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（五）资产证券化风险暴露是指</w:t>
      </w:r>
      <w:r>
        <w:rPr>
          <w:rFonts w:ascii="Arial" w:eastAsia="仿宋_GB2312" w:hAnsi="Arial" w:cs="宋体" w:hint="eastAsia"/>
          <w:kern w:val="0"/>
          <w:sz w:val="30"/>
          <w:szCs w:val="30"/>
        </w:rPr>
        <w:t>商业银行因从事资产证券化业务而形成的表内外风险暴露。</w:t>
      </w:r>
      <w:r>
        <w:rPr>
          <w:rFonts w:ascii="仿宋_GB2312" w:eastAsia="仿宋_GB2312" w:hint="eastAsia"/>
          <w:sz w:val="30"/>
          <w:szCs w:val="30"/>
        </w:rPr>
        <w:t>资产证券化风险暴露包括但不限于资产支持证券、住房抵押贷款证券、信用增级、流动性便利、利率或货币互换、信用衍生工具和分档次抵补。</w:t>
      </w:r>
    </w:p>
    <w:p w14:paraId="50FBF9B8"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储备账户如果作为发起机构的资产，应当视同于资产证券化风险暴露。储备账户包括但不限于现金抵押账户和利差账户。</w:t>
      </w:r>
    </w:p>
    <w:p w14:paraId="6DA7EDBE" w14:textId="77777777" w:rsidR="00F84386" w:rsidRDefault="00CC5C3C">
      <w:pPr>
        <w:spacing w:line="480" w:lineRule="exact"/>
        <w:ind w:firstLineChars="200" w:firstLine="600"/>
        <w:rPr>
          <w:rFonts w:ascii="仿宋_GB2312" w:eastAsia="仿宋_GB2312"/>
          <w:sz w:val="30"/>
          <w:szCs w:val="30"/>
        </w:rPr>
      </w:pPr>
      <w:r>
        <w:rPr>
          <w:rFonts w:ascii="仿宋_GB2312" w:eastAsia="仿宋_GB2312" w:hint="eastAsia"/>
          <w:sz w:val="30"/>
          <w:szCs w:val="30"/>
        </w:rPr>
        <w:t>（六）资产管理产品</w:t>
      </w:r>
      <w:r>
        <w:rPr>
          <w:rFonts w:ascii="仿宋_GB2312" w:eastAsia="仿宋_GB2312" w:hAnsi="仿宋" w:hint="eastAsia"/>
          <w:sz w:val="30"/>
          <w:szCs w:val="30"/>
        </w:rPr>
        <w:t>包括但不限于商业银行及其设立的理财公司非保本理财产品，资金信托，</w:t>
      </w:r>
      <w:r>
        <w:rPr>
          <w:rFonts w:ascii="仿宋_GB2312" w:eastAsia="仿宋_GB2312" w:hAnsi="仿宋" w:hint="eastAsia"/>
          <w:color w:val="000000"/>
          <w:sz w:val="30"/>
          <w:szCs w:val="30"/>
        </w:rPr>
        <w:t>私募投资基金，</w:t>
      </w:r>
      <w:r>
        <w:rPr>
          <w:rFonts w:ascii="仿宋_GB2312" w:eastAsia="仿宋_GB2312" w:hAnsi="仿宋" w:hint="eastAsia"/>
          <w:sz w:val="30"/>
          <w:szCs w:val="30"/>
        </w:rPr>
        <w:t>证券公司及其子公司、基金管理公司及其子公司、期货公司及其子公司、保险资产管理机构、金融资产投资公司发行的资产管理产品以及其他符合资产管理产品定义的产品。</w:t>
      </w:r>
    </w:p>
    <w:p w14:paraId="5E58936C" w14:textId="77777777" w:rsidR="00F84386" w:rsidRDefault="00F84386">
      <w:pPr>
        <w:ind w:firstLineChars="200" w:firstLine="600"/>
        <w:rPr>
          <w:rFonts w:ascii="仿宋_GB2312" w:eastAsia="仿宋_GB2312"/>
          <w:sz w:val="30"/>
          <w:szCs w:val="30"/>
        </w:rPr>
      </w:pPr>
    </w:p>
    <w:sectPr w:rsidR="00F84386">
      <w:footerReference w:type="even" r:id="rId7"/>
      <w:footerReference w:type="default" r:id="rId8"/>
      <w:footnotePr>
        <w:numFmt w:val="decimalEnclosedCircleChinese"/>
      </w:footnotePr>
      <w:pgSz w:w="11906" w:h="16838"/>
      <w:pgMar w:top="1440" w:right="1803" w:bottom="1440" w:left="180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1A0B" w14:textId="77777777" w:rsidR="002C0C5C" w:rsidRDefault="002C0C5C">
      <w:r>
        <w:separator/>
      </w:r>
    </w:p>
  </w:endnote>
  <w:endnote w:type="continuationSeparator" w:id="0">
    <w:p w14:paraId="6852620E" w14:textId="77777777" w:rsidR="002C0C5C" w:rsidRDefault="002C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512" w14:textId="77777777" w:rsidR="00F84386" w:rsidRDefault="00CC5C3C">
    <w:pPr>
      <w:pStyle w:val="a7"/>
      <w:framePr w:wrap="around" w:vAnchor="text" w:hAnchor="margin" w:xAlign="right" w:y="1"/>
      <w:rPr>
        <w:rStyle w:val="ae"/>
      </w:rPr>
    </w:pPr>
    <w:r>
      <w:fldChar w:fldCharType="begin"/>
    </w:r>
    <w:r>
      <w:rPr>
        <w:rStyle w:val="ae"/>
      </w:rPr>
      <w:instrText xml:space="preserve">PAGE  </w:instrText>
    </w:r>
    <w:r>
      <w:fldChar w:fldCharType="end"/>
    </w:r>
  </w:p>
  <w:p w14:paraId="6DED4073" w14:textId="77777777" w:rsidR="00F84386" w:rsidRDefault="00F8438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rPr>
        <w:rFonts w:ascii="宋体" w:hAnsi="宋体"/>
        <w:sz w:val="21"/>
        <w:szCs w:val="21"/>
      </w:rPr>
    </w:sdtEndPr>
    <w:sdtContent>
      <w:p w14:paraId="251050A1" w14:textId="77777777" w:rsidR="00F84386" w:rsidRDefault="00CC5C3C">
        <w:pPr>
          <w:pStyle w:val="a7"/>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938D" w14:textId="77777777" w:rsidR="002C0C5C" w:rsidRDefault="002C0C5C">
      <w:r>
        <w:separator/>
      </w:r>
    </w:p>
  </w:footnote>
  <w:footnote w:type="continuationSeparator" w:id="0">
    <w:p w14:paraId="4B832EC5" w14:textId="77777777" w:rsidR="002C0C5C" w:rsidRDefault="002C0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RkZTUwZDg4OGNlMmFiY2NmMGY3MjY4MWFhMmM1YjIifQ=="/>
  </w:docVars>
  <w:rsids>
    <w:rsidRoot w:val="00C34525"/>
    <w:rsid w:val="9BDF65F0"/>
    <w:rsid w:val="BB9BF461"/>
    <w:rsid w:val="BBE7DFD5"/>
    <w:rsid w:val="CFED8A90"/>
    <w:rsid w:val="DDFF6058"/>
    <w:rsid w:val="FDFF173D"/>
    <w:rsid w:val="00002B08"/>
    <w:rsid w:val="00002B12"/>
    <w:rsid w:val="00005093"/>
    <w:rsid w:val="00011516"/>
    <w:rsid w:val="000118F4"/>
    <w:rsid w:val="000127B4"/>
    <w:rsid w:val="00012E1F"/>
    <w:rsid w:val="000143C6"/>
    <w:rsid w:val="000159F5"/>
    <w:rsid w:val="000164A8"/>
    <w:rsid w:val="0001726B"/>
    <w:rsid w:val="00017B90"/>
    <w:rsid w:val="00022450"/>
    <w:rsid w:val="00022E8B"/>
    <w:rsid w:val="000242A9"/>
    <w:rsid w:val="000263B9"/>
    <w:rsid w:val="000320BB"/>
    <w:rsid w:val="00035120"/>
    <w:rsid w:val="000359BB"/>
    <w:rsid w:val="0003600E"/>
    <w:rsid w:val="000402A4"/>
    <w:rsid w:val="00040F15"/>
    <w:rsid w:val="00041010"/>
    <w:rsid w:val="0004228E"/>
    <w:rsid w:val="00043146"/>
    <w:rsid w:val="00043C86"/>
    <w:rsid w:val="00044A9B"/>
    <w:rsid w:val="00045436"/>
    <w:rsid w:val="00045CC7"/>
    <w:rsid w:val="000509CC"/>
    <w:rsid w:val="00052841"/>
    <w:rsid w:val="00053031"/>
    <w:rsid w:val="00053C92"/>
    <w:rsid w:val="00053DD6"/>
    <w:rsid w:val="00061791"/>
    <w:rsid w:val="00061936"/>
    <w:rsid w:val="000624B9"/>
    <w:rsid w:val="00062763"/>
    <w:rsid w:val="00062BE3"/>
    <w:rsid w:val="00062FDC"/>
    <w:rsid w:val="000644D0"/>
    <w:rsid w:val="00064ED4"/>
    <w:rsid w:val="0006642D"/>
    <w:rsid w:val="00066F3E"/>
    <w:rsid w:val="00070415"/>
    <w:rsid w:val="000712DA"/>
    <w:rsid w:val="00072944"/>
    <w:rsid w:val="00073446"/>
    <w:rsid w:val="00073983"/>
    <w:rsid w:val="00076F83"/>
    <w:rsid w:val="00076FDF"/>
    <w:rsid w:val="000777CD"/>
    <w:rsid w:val="000808C3"/>
    <w:rsid w:val="00081256"/>
    <w:rsid w:val="000829CF"/>
    <w:rsid w:val="00082F2C"/>
    <w:rsid w:val="00084598"/>
    <w:rsid w:val="00084EC8"/>
    <w:rsid w:val="00086294"/>
    <w:rsid w:val="00086415"/>
    <w:rsid w:val="000957A5"/>
    <w:rsid w:val="00096B8F"/>
    <w:rsid w:val="000A0C82"/>
    <w:rsid w:val="000A287B"/>
    <w:rsid w:val="000A28D4"/>
    <w:rsid w:val="000A3670"/>
    <w:rsid w:val="000A4262"/>
    <w:rsid w:val="000A4731"/>
    <w:rsid w:val="000A7BE5"/>
    <w:rsid w:val="000A7EB3"/>
    <w:rsid w:val="000B127F"/>
    <w:rsid w:val="000B3CC1"/>
    <w:rsid w:val="000B3E28"/>
    <w:rsid w:val="000B473E"/>
    <w:rsid w:val="000B4C38"/>
    <w:rsid w:val="000B6193"/>
    <w:rsid w:val="000B65A2"/>
    <w:rsid w:val="000B7246"/>
    <w:rsid w:val="000C00F6"/>
    <w:rsid w:val="000C0194"/>
    <w:rsid w:val="000C10CF"/>
    <w:rsid w:val="000C325B"/>
    <w:rsid w:val="000C47DD"/>
    <w:rsid w:val="000C5436"/>
    <w:rsid w:val="000C683D"/>
    <w:rsid w:val="000D01E5"/>
    <w:rsid w:val="000D2A54"/>
    <w:rsid w:val="000D3D57"/>
    <w:rsid w:val="000D70B9"/>
    <w:rsid w:val="000D7758"/>
    <w:rsid w:val="000E2B47"/>
    <w:rsid w:val="000E38E4"/>
    <w:rsid w:val="000E5480"/>
    <w:rsid w:val="000E5C0A"/>
    <w:rsid w:val="000E5C35"/>
    <w:rsid w:val="000E78FF"/>
    <w:rsid w:val="000E792E"/>
    <w:rsid w:val="000F35E6"/>
    <w:rsid w:val="000F37A3"/>
    <w:rsid w:val="000F3DC6"/>
    <w:rsid w:val="000F4EFC"/>
    <w:rsid w:val="000F5306"/>
    <w:rsid w:val="000F6F7A"/>
    <w:rsid w:val="000F73F9"/>
    <w:rsid w:val="00100F45"/>
    <w:rsid w:val="001010C3"/>
    <w:rsid w:val="001020EB"/>
    <w:rsid w:val="00102B8D"/>
    <w:rsid w:val="001038BF"/>
    <w:rsid w:val="00103E77"/>
    <w:rsid w:val="001040E6"/>
    <w:rsid w:val="00106D51"/>
    <w:rsid w:val="00106FB9"/>
    <w:rsid w:val="00110A1C"/>
    <w:rsid w:val="00115E75"/>
    <w:rsid w:val="001205D1"/>
    <w:rsid w:val="001216B2"/>
    <w:rsid w:val="0012274E"/>
    <w:rsid w:val="00123242"/>
    <w:rsid w:val="00125561"/>
    <w:rsid w:val="00125BC9"/>
    <w:rsid w:val="001269AB"/>
    <w:rsid w:val="00131036"/>
    <w:rsid w:val="00135C99"/>
    <w:rsid w:val="00136882"/>
    <w:rsid w:val="001401DE"/>
    <w:rsid w:val="00141311"/>
    <w:rsid w:val="00141DC5"/>
    <w:rsid w:val="00143589"/>
    <w:rsid w:val="00144173"/>
    <w:rsid w:val="001442B7"/>
    <w:rsid w:val="0014641E"/>
    <w:rsid w:val="00150531"/>
    <w:rsid w:val="00150F5F"/>
    <w:rsid w:val="00151452"/>
    <w:rsid w:val="00151C36"/>
    <w:rsid w:val="00151F2B"/>
    <w:rsid w:val="00152873"/>
    <w:rsid w:val="00153A7C"/>
    <w:rsid w:val="0016256B"/>
    <w:rsid w:val="001627F8"/>
    <w:rsid w:val="001642CF"/>
    <w:rsid w:val="0016525B"/>
    <w:rsid w:val="0016584B"/>
    <w:rsid w:val="00166232"/>
    <w:rsid w:val="00167776"/>
    <w:rsid w:val="001700E3"/>
    <w:rsid w:val="001717AC"/>
    <w:rsid w:val="00171D26"/>
    <w:rsid w:val="001738E8"/>
    <w:rsid w:val="00174592"/>
    <w:rsid w:val="00174843"/>
    <w:rsid w:val="00175178"/>
    <w:rsid w:val="00181589"/>
    <w:rsid w:val="00183BA0"/>
    <w:rsid w:val="001868B5"/>
    <w:rsid w:val="00186CA5"/>
    <w:rsid w:val="00186E29"/>
    <w:rsid w:val="0018763D"/>
    <w:rsid w:val="001908CC"/>
    <w:rsid w:val="001923C8"/>
    <w:rsid w:val="00192A5D"/>
    <w:rsid w:val="001936E1"/>
    <w:rsid w:val="00193E8E"/>
    <w:rsid w:val="00195C84"/>
    <w:rsid w:val="00196D59"/>
    <w:rsid w:val="00197851"/>
    <w:rsid w:val="001A0548"/>
    <w:rsid w:val="001A0E9C"/>
    <w:rsid w:val="001A54D4"/>
    <w:rsid w:val="001B0F84"/>
    <w:rsid w:val="001B15EB"/>
    <w:rsid w:val="001B2E8F"/>
    <w:rsid w:val="001B4202"/>
    <w:rsid w:val="001B4730"/>
    <w:rsid w:val="001B4AE5"/>
    <w:rsid w:val="001B6633"/>
    <w:rsid w:val="001B6BDD"/>
    <w:rsid w:val="001B7AFA"/>
    <w:rsid w:val="001C0CB9"/>
    <w:rsid w:val="001C0F53"/>
    <w:rsid w:val="001C1EC9"/>
    <w:rsid w:val="001C38B9"/>
    <w:rsid w:val="001C42B3"/>
    <w:rsid w:val="001C597F"/>
    <w:rsid w:val="001C5EB2"/>
    <w:rsid w:val="001D0271"/>
    <w:rsid w:val="001D035F"/>
    <w:rsid w:val="001D0639"/>
    <w:rsid w:val="001D1423"/>
    <w:rsid w:val="001D236A"/>
    <w:rsid w:val="001D409B"/>
    <w:rsid w:val="001D613A"/>
    <w:rsid w:val="001D7DDC"/>
    <w:rsid w:val="001E1C11"/>
    <w:rsid w:val="001E238A"/>
    <w:rsid w:val="001E24CF"/>
    <w:rsid w:val="001E262D"/>
    <w:rsid w:val="001E33E7"/>
    <w:rsid w:val="001F03D4"/>
    <w:rsid w:val="001F05A4"/>
    <w:rsid w:val="001F38E3"/>
    <w:rsid w:val="001F68FD"/>
    <w:rsid w:val="001F78F8"/>
    <w:rsid w:val="002009BF"/>
    <w:rsid w:val="00200F2E"/>
    <w:rsid w:val="00201585"/>
    <w:rsid w:val="002076F3"/>
    <w:rsid w:val="00207D6F"/>
    <w:rsid w:val="002102A9"/>
    <w:rsid w:val="00210A68"/>
    <w:rsid w:val="00211A35"/>
    <w:rsid w:val="00211E65"/>
    <w:rsid w:val="0021275A"/>
    <w:rsid w:val="002136B6"/>
    <w:rsid w:val="002236F5"/>
    <w:rsid w:val="002247D0"/>
    <w:rsid w:val="00224C1E"/>
    <w:rsid w:val="00231842"/>
    <w:rsid w:val="00231AC6"/>
    <w:rsid w:val="00235171"/>
    <w:rsid w:val="00241035"/>
    <w:rsid w:val="00241263"/>
    <w:rsid w:val="002440D1"/>
    <w:rsid w:val="00245ECD"/>
    <w:rsid w:val="00246C96"/>
    <w:rsid w:val="00247B0D"/>
    <w:rsid w:val="0025048D"/>
    <w:rsid w:val="002519E9"/>
    <w:rsid w:val="00252C4B"/>
    <w:rsid w:val="002573D5"/>
    <w:rsid w:val="00257D90"/>
    <w:rsid w:val="00261650"/>
    <w:rsid w:val="00262E86"/>
    <w:rsid w:val="002651DA"/>
    <w:rsid w:val="002651F4"/>
    <w:rsid w:val="002664E9"/>
    <w:rsid w:val="00266F55"/>
    <w:rsid w:val="00267371"/>
    <w:rsid w:val="0026773E"/>
    <w:rsid w:val="002702F8"/>
    <w:rsid w:val="00270EAC"/>
    <w:rsid w:val="00272262"/>
    <w:rsid w:val="00272AFA"/>
    <w:rsid w:val="00273E1C"/>
    <w:rsid w:val="00274E7D"/>
    <w:rsid w:val="0027591D"/>
    <w:rsid w:val="00275A1C"/>
    <w:rsid w:val="0028120C"/>
    <w:rsid w:val="00282131"/>
    <w:rsid w:val="0028684E"/>
    <w:rsid w:val="00286CD7"/>
    <w:rsid w:val="002908B0"/>
    <w:rsid w:val="00294D1E"/>
    <w:rsid w:val="002959A7"/>
    <w:rsid w:val="002962CA"/>
    <w:rsid w:val="0029731B"/>
    <w:rsid w:val="002A0704"/>
    <w:rsid w:val="002A0AFF"/>
    <w:rsid w:val="002A2CB6"/>
    <w:rsid w:val="002A3410"/>
    <w:rsid w:val="002A3DB1"/>
    <w:rsid w:val="002A425F"/>
    <w:rsid w:val="002A4A6E"/>
    <w:rsid w:val="002B07D9"/>
    <w:rsid w:val="002B0805"/>
    <w:rsid w:val="002B0E9C"/>
    <w:rsid w:val="002B257D"/>
    <w:rsid w:val="002B3E09"/>
    <w:rsid w:val="002B49D4"/>
    <w:rsid w:val="002B7788"/>
    <w:rsid w:val="002C0777"/>
    <w:rsid w:val="002C0C5C"/>
    <w:rsid w:val="002C1CF5"/>
    <w:rsid w:val="002C2644"/>
    <w:rsid w:val="002C2EE6"/>
    <w:rsid w:val="002C39BD"/>
    <w:rsid w:val="002C3B26"/>
    <w:rsid w:val="002C4014"/>
    <w:rsid w:val="002C4E5B"/>
    <w:rsid w:val="002C58C4"/>
    <w:rsid w:val="002C7AF0"/>
    <w:rsid w:val="002C7D41"/>
    <w:rsid w:val="002D02F6"/>
    <w:rsid w:val="002D0F15"/>
    <w:rsid w:val="002D0F7F"/>
    <w:rsid w:val="002D0FDA"/>
    <w:rsid w:val="002D1C2D"/>
    <w:rsid w:val="002D210F"/>
    <w:rsid w:val="002D231E"/>
    <w:rsid w:val="002D4DE1"/>
    <w:rsid w:val="002D4E7B"/>
    <w:rsid w:val="002D4FB8"/>
    <w:rsid w:val="002E0433"/>
    <w:rsid w:val="002E1892"/>
    <w:rsid w:val="002E3F2D"/>
    <w:rsid w:val="002E480E"/>
    <w:rsid w:val="002E4F69"/>
    <w:rsid w:val="002E5928"/>
    <w:rsid w:val="002E6329"/>
    <w:rsid w:val="002F05FE"/>
    <w:rsid w:val="002F0FC9"/>
    <w:rsid w:val="002F112B"/>
    <w:rsid w:val="002F1C3E"/>
    <w:rsid w:val="002F274B"/>
    <w:rsid w:val="002F3ABE"/>
    <w:rsid w:val="002F43A7"/>
    <w:rsid w:val="002F5C13"/>
    <w:rsid w:val="002F6340"/>
    <w:rsid w:val="002F79F2"/>
    <w:rsid w:val="002F7C47"/>
    <w:rsid w:val="0030022B"/>
    <w:rsid w:val="003013A0"/>
    <w:rsid w:val="00301E64"/>
    <w:rsid w:val="00301EF9"/>
    <w:rsid w:val="00302150"/>
    <w:rsid w:val="003029E8"/>
    <w:rsid w:val="00303BC2"/>
    <w:rsid w:val="003040BF"/>
    <w:rsid w:val="003042B4"/>
    <w:rsid w:val="003070E0"/>
    <w:rsid w:val="0031016B"/>
    <w:rsid w:val="00310326"/>
    <w:rsid w:val="00312B64"/>
    <w:rsid w:val="003162B6"/>
    <w:rsid w:val="003169C5"/>
    <w:rsid w:val="003175E0"/>
    <w:rsid w:val="00321F31"/>
    <w:rsid w:val="00321F74"/>
    <w:rsid w:val="003227F1"/>
    <w:rsid w:val="00324519"/>
    <w:rsid w:val="0032652E"/>
    <w:rsid w:val="00327598"/>
    <w:rsid w:val="00333E3A"/>
    <w:rsid w:val="003342AD"/>
    <w:rsid w:val="003343FD"/>
    <w:rsid w:val="00334799"/>
    <w:rsid w:val="003349C2"/>
    <w:rsid w:val="00334DB1"/>
    <w:rsid w:val="0033659F"/>
    <w:rsid w:val="00336BB9"/>
    <w:rsid w:val="003371E0"/>
    <w:rsid w:val="0033754A"/>
    <w:rsid w:val="0034022E"/>
    <w:rsid w:val="003430A8"/>
    <w:rsid w:val="00343768"/>
    <w:rsid w:val="00343C1D"/>
    <w:rsid w:val="00343DE4"/>
    <w:rsid w:val="003447A2"/>
    <w:rsid w:val="0034701C"/>
    <w:rsid w:val="00347423"/>
    <w:rsid w:val="00347B0C"/>
    <w:rsid w:val="00351365"/>
    <w:rsid w:val="0035332C"/>
    <w:rsid w:val="00355C3D"/>
    <w:rsid w:val="00356050"/>
    <w:rsid w:val="003565C6"/>
    <w:rsid w:val="00356A21"/>
    <w:rsid w:val="00356BD4"/>
    <w:rsid w:val="003628BD"/>
    <w:rsid w:val="00366F2F"/>
    <w:rsid w:val="003676C1"/>
    <w:rsid w:val="003700D8"/>
    <w:rsid w:val="00370149"/>
    <w:rsid w:val="00375903"/>
    <w:rsid w:val="00382B4F"/>
    <w:rsid w:val="00385889"/>
    <w:rsid w:val="00385EA2"/>
    <w:rsid w:val="003908D7"/>
    <w:rsid w:val="00391334"/>
    <w:rsid w:val="00392068"/>
    <w:rsid w:val="0039340F"/>
    <w:rsid w:val="00395A47"/>
    <w:rsid w:val="00396903"/>
    <w:rsid w:val="003A15E8"/>
    <w:rsid w:val="003A173E"/>
    <w:rsid w:val="003A19E8"/>
    <w:rsid w:val="003A1CFE"/>
    <w:rsid w:val="003A1E95"/>
    <w:rsid w:val="003A35BD"/>
    <w:rsid w:val="003A36B8"/>
    <w:rsid w:val="003A5249"/>
    <w:rsid w:val="003A6338"/>
    <w:rsid w:val="003A7626"/>
    <w:rsid w:val="003B04EF"/>
    <w:rsid w:val="003B09F9"/>
    <w:rsid w:val="003B1857"/>
    <w:rsid w:val="003B1AEB"/>
    <w:rsid w:val="003B24CB"/>
    <w:rsid w:val="003B3AB2"/>
    <w:rsid w:val="003B3EC3"/>
    <w:rsid w:val="003B43A2"/>
    <w:rsid w:val="003B5BA5"/>
    <w:rsid w:val="003B600F"/>
    <w:rsid w:val="003B6840"/>
    <w:rsid w:val="003B685D"/>
    <w:rsid w:val="003C07AF"/>
    <w:rsid w:val="003C1269"/>
    <w:rsid w:val="003C2248"/>
    <w:rsid w:val="003C2BF4"/>
    <w:rsid w:val="003C4796"/>
    <w:rsid w:val="003C6EFD"/>
    <w:rsid w:val="003D7148"/>
    <w:rsid w:val="003D77D8"/>
    <w:rsid w:val="003E21AD"/>
    <w:rsid w:val="003E61C6"/>
    <w:rsid w:val="003E6C2C"/>
    <w:rsid w:val="003E6F31"/>
    <w:rsid w:val="003E711C"/>
    <w:rsid w:val="003F0F6F"/>
    <w:rsid w:val="003F1D5E"/>
    <w:rsid w:val="003F392D"/>
    <w:rsid w:val="003F799E"/>
    <w:rsid w:val="00400C7B"/>
    <w:rsid w:val="0040144D"/>
    <w:rsid w:val="00403CFB"/>
    <w:rsid w:val="0040473C"/>
    <w:rsid w:val="0040531B"/>
    <w:rsid w:val="00407179"/>
    <w:rsid w:val="004100F8"/>
    <w:rsid w:val="0041059F"/>
    <w:rsid w:val="00411FC7"/>
    <w:rsid w:val="00416236"/>
    <w:rsid w:val="00417D36"/>
    <w:rsid w:val="00420791"/>
    <w:rsid w:val="00420875"/>
    <w:rsid w:val="004208B3"/>
    <w:rsid w:val="00421068"/>
    <w:rsid w:val="00422908"/>
    <w:rsid w:val="00422EBC"/>
    <w:rsid w:val="00423C89"/>
    <w:rsid w:val="00427C60"/>
    <w:rsid w:val="00427E2B"/>
    <w:rsid w:val="0043141A"/>
    <w:rsid w:val="00431D23"/>
    <w:rsid w:val="00431DB8"/>
    <w:rsid w:val="00431F46"/>
    <w:rsid w:val="00433814"/>
    <w:rsid w:val="00440C95"/>
    <w:rsid w:val="0044273C"/>
    <w:rsid w:val="004427A7"/>
    <w:rsid w:val="00443F8F"/>
    <w:rsid w:val="00444A84"/>
    <w:rsid w:val="00444AEB"/>
    <w:rsid w:val="00444DAB"/>
    <w:rsid w:val="0044634D"/>
    <w:rsid w:val="00446624"/>
    <w:rsid w:val="00447937"/>
    <w:rsid w:val="004515AB"/>
    <w:rsid w:val="00451B3F"/>
    <w:rsid w:val="0045333D"/>
    <w:rsid w:val="00455944"/>
    <w:rsid w:val="00457CE0"/>
    <w:rsid w:val="004618AB"/>
    <w:rsid w:val="00461990"/>
    <w:rsid w:val="004633E5"/>
    <w:rsid w:val="004674CF"/>
    <w:rsid w:val="004677E8"/>
    <w:rsid w:val="00470DA5"/>
    <w:rsid w:val="0047283C"/>
    <w:rsid w:val="0047291E"/>
    <w:rsid w:val="004729AD"/>
    <w:rsid w:val="00473543"/>
    <w:rsid w:val="00473BBF"/>
    <w:rsid w:val="004771D6"/>
    <w:rsid w:val="004803B4"/>
    <w:rsid w:val="00480437"/>
    <w:rsid w:val="004829D1"/>
    <w:rsid w:val="00482C54"/>
    <w:rsid w:val="00484E5A"/>
    <w:rsid w:val="00485B18"/>
    <w:rsid w:val="00490089"/>
    <w:rsid w:val="004912BF"/>
    <w:rsid w:val="00495FAE"/>
    <w:rsid w:val="0049631E"/>
    <w:rsid w:val="004976EB"/>
    <w:rsid w:val="004A3E42"/>
    <w:rsid w:val="004A4E3F"/>
    <w:rsid w:val="004A5551"/>
    <w:rsid w:val="004A5A2E"/>
    <w:rsid w:val="004A6A03"/>
    <w:rsid w:val="004A71EE"/>
    <w:rsid w:val="004A7793"/>
    <w:rsid w:val="004B0B11"/>
    <w:rsid w:val="004B3C4B"/>
    <w:rsid w:val="004B4D0C"/>
    <w:rsid w:val="004B6ADF"/>
    <w:rsid w:val="004C0F63"/>
    <w:rsid w:val="004C37BB"/>
    <w:rsid w:val="004C38F2"/>
    <w:rsid w:val="004C3E78"/>
    <w:rsid w:val="004C426A"/>
    <w:rsid w:val="004C5C85"/>
    <w:rsid w:val="004C6632"/>
    <w:rsid w:val="004C74D4"/>
    <w:rsid w:val="004D01DC"/>
    <w:rsid w:val="004D0E2B"/>
    <w:rsid w:val="004D13EF"/>
    <w:rsid w:val="004D4B45"/>
    <w:rsid w:val="004D7822"/>
    <w:rsid w:val="004D793F"/>
    <w:rsid w:val="004E2C2C"/>
    <w:rsid w:val="004F076D"/>
    <w:rsid w:val="004F0BDD"/>
    <w:rsid w:val="004F0F51"/>
    <w:rsid w:val="004F5E47"/>
    <w:rsid w:val="004F6F58"/>
    <w:rsid w:val="005001D4"/>
    <w:rsid w:val="00502374"/>
    <w:rsid w:val="00502FF4"/>
    <w:rsid w:val="00503278"/>
    <w:rsid w:val="0050404A"/>
    <w:rsid w:val="005041DA"/>
    <w:rsid w:val="00505703"/>
    <w:rsid w:val="0050755F"/>
    <w:rsid w:val="005102FA"/>
    <w:rsid w:val="0051092A"/>
    <w:rsid w:val="00511DCB"/>
    <w:rsid w:val="0051207B"/>
    <w:rsid w:val="005128CE"/>
    <w:rsid w:val="00513AB8"/>
    <w:rsid w:val="005145A9"/>
    <w:rsid w:val="00514ADC"/>
    <w:rsid w:val="00515624"/>
    <w:rsid w:val="005168D6"/>
    <w:rsid w:val="00520141"/>
    <w:rsid w:val="00520C07"/>
    <w:rsid w:val="005215A7"/>
    <w:rsid w:val="00521626"/>
    <w:rsid w:val="005216E6"/>
    <w:rsid w:val="00522795"/>
    <w:rsid w:val="00523DB7"/>
    <w:rsid w:val="00525562"/>
    <w:rsid w:val="00527BD0"/>
    <w:rsid w:val="00531349"/>
    <w:rsid w:val="00531E34"/>
    <w:rsid w:val="0053285E"/>
    <w:rsid w:val="005332D9"/>
    <w:rsid w:val="0053374D"/>
    <w:rsid w:val="0053397C"/>
    <w:rsid w:val="005343A6"/>
    <w:rsid w:val="00537CFE"/>
    <w:rsid w:val="005407BC"/>
    <w:rsid w:val="0054186C"/>
    <w:rsid w:val="005429D7"/>
    <w:rsid w:val="00545510"/>
    <w:rsid w:val="005474C0"/>
    <w:rsid w:val="00547597"/>
    <w:rsid w:val="0055146D"/>
    <w:rsid w:val="00553414"/>
    <w:rsid w:val="005566D9"/>
    <w:rsid w:val="00556F00"/>
    <w:rsid w:val="00560940"/>
    <w:rsid w:val="00560FD5"/>
    <w:rsid w:val="00561585"/>
    <w:rsid w:val="00561DAB"/>
    <w:rsid w:val="00563DE3"/>
    <w:rsid w:val="0056462B"/>
    <w:rsid w:val="00565874"/>
    <w:rsid w:val="0056733A"/>
    <w:rsid w:val="00570179"/>
    <w:rsid w:val="00570CCC"/>
    <w:rsid w:val="0057201F"/>
    <w:rsid w:val="0057483F"/>
    <w:rsid w:val="00576150"/>
    <w:rsid w:val="00576631"/>
    <w:rsid w:val="0057730E"/>
    <w:rsid w:val="00582023"/>
    <w:rsid w:val="00582B29"/>
    <w:rsid w:val="00583D6F"/>
    <w:rsid w:val="00583E41"/>
    <w:rsid w:val="00586B6E"/>
    <w:rsid w:val="00587933"/>
    <w:rsid w:val="005912EF"/>
    <w:rsid w:val="0059251F"/>
    <w:rsid w:val="005951BC"/>
    <w:rsid w:val="005952D9"/>
    <w:rsid w:val="00596395"/>
    <w:rsid w:val="005A02CC"/>
    <w:rsid w:val="005A08E9"/>
    <w:rsid w:val="005A0B19"/>
    <w:rsid w:val="005A0ECB"/>
    <w:rsid w:val="005A24DA"/>
    <w:rsid w:val="005A25C4"/>
    <w:rsid w:val="005A4DDA"/>
    <w:rsid w:val="005A55D7"/>
    <w:rsid w:val="005A7A4B"/>
    <w:rsid w:val="005B0EE9"/>
    <w:rsid w:val="005B1BA8"/>
    <w:rsid w:val="005B1C20"/>
    <w:rsid w:val="005B2346"/>
    <w:rsid w:val="005B3750"/>
    <w:rsid w:val="005B4F8F"/>
    <w:rsid w:val="005B503E"/>
    <w:rsid w:val="005B69B0"/>
    <w:rsid w:val="005C0683"/>
    <w:rsid w:val="005C1C18"/>
    <w:rsid w:val="005C2AF8"/>
    <w:rsid w:val="005C44B0"/>
    <w:rsid w:val="005C50FC"/>
    <w:rsid w:val="005C5D34"/>
    <w:rsid w:val="005C680B"/>
    <w:rsid w:val="005C695D"/>
    <w:rsid w:val="005D1E4D"/>
    <w:rsid w:val="005D3922"/>
    <w:rsid w:val="005D566B"/>
    <w:rsid w:val="005D6000"/>
    <w:rsid w:val="005D67AF"/>
    <w:rsid w:val="005D6D94"/>
    <w:rsid w:val="005E07FD"/>
    <w:rsid w:val="005E1F8A"/>
    <w:rsid w:val="005E21DF"/>
    <w:rsid w:val="005E2DB3"/>
    <w:rsid w:val="005E390B"/>
    <w:rsid w:val="005E3B1A"/>
    <w:rsid w:val="005E40E5"/>
    <w:rsid w:val="005E4519"/>
    <w:rsid w:val="005E5BBB"/>
    <w:rsid w:val="005E5DAA"/>
    <w:rsid w:val="005E7A04"/>
    <w:rsid w:val="005F418B"/>
    <w:rsid w:val="005F42C6"/>
    <w:rsid w:val="005F66E6"/>
    <w:rsid w:val="00602E29"/>
    <w:rsid w:val="006034D7"/>
    <w:rsid w:val="00606A0B"/>
    <w:rsid w:val="0060702C"/>
    <w:rsid w:val="006078EC"/>
    <w:rsid w:val="0061200E"/>
    <w:rsid w:val="00615AD8"/>
    <w:rsid w:val="00615B07"/>
    <w:rsid w:val="00616317"/>
    <w:rsid w:val="00617075"/>
    <w:rsid w:val="00617A7D"/>
    <w:rsid w:val="006200C1"/>
    <w:rsid w:val="006211E9"/>
    <w:rsid w:val="0062187C"/>
    <w:rsid w:val="00621D8E"/>
    <w:rsid w:val="00622558"/>
    <w:rsid w:val="0062383B"/>
    <w:rsid w:val="006238D8"/>
    <w:rsid w:val="00623BA2"/>
    <w:rsid w:val="00627A13"/>
    <w:rsid w:val="00627D86"/>
    <w:rsid w:val="00630103"/>
    <w:rsid w:val="00630E65"/>
    <w:rsid w:val="00631C75"/>
    <w:rsid w:val="006326CA"/>
    <w:rsid w:val="006329DC"/>
    <w:rsid w:val="00633ED4"/>
    <w:rsid w:val="00635AD5"/>
    <w:rsid w:val="00641D31"/>
    <w:rsid w:val="006433D1"/>
    <w:rsid w:val="00646301"/>
    <w:rsid w:val="006463B0"/>
    <w:rsid w:val="006517ED"/>
    <w:rsid w:val="0065275D"/>
    <w:rsid w:val="00652850"/>
    <w:rsid w:val="00653C0E"/>
    <w:rsid w:val="00654E2E"/>
    <w:rsid w:val="006615D2"/>
    <w:rsid w:val="00662339"/>
    <w:rsid w:val="00665A8B"/>
    <w:rsid w:val="00665DA4"/>
    <w:rsid w:val="00667365"/>
    <w:rsid w:val="00667AE0"/>
    <w:rsid w:val="00672E9F"/>
    <w:rsid w:val="00673DF6"/>
    <w:rsid w:val="00674647"/>
    <w:rsid w:val="00675D5D"/>
    <w:rsid w:val="00675E7E"/>
    <w:rsid w:val="006761C9"/>
    <w:rsid w:val="00677E2A"/>
    <w:rsid w:val="00680AAA"/>
    <w:rsid w:val="00680DE8"/>
    <w:rsid w:val="00681DEC"/>
    <w:rsid w:val="00681E46"/>
    <w:rsid w:val="00683FDB"/>
    <w:rsid w:val="00684855"/>
    <w:rsid w:val="006871A2"/>
    <w:rsid w:val="00687A90"/>
    <w:rsid w:val="00690E66"/>
    <w:rsid w:val="00694CFE"/>
    <w:rsid w:val="00696B2A"/>
    <w:rsid w:val="006A326A"/>
    <w:rsid w:val="006A3EE2"/>
    <w:rsid w:val="006A52BF"/>
    <w:rsid w:val="006A5966"/>
    <w:rsid w:val="006A6DBA"/>
    <w:rsid w:val="006A7D63"/>
    <w:rsid w:val="006B4D76"/>
    <w:rsid w:val="006B5154"/>
    <w:rsid w:val="006B5A5F"/>
    <w:rsid w:val="006C0685"/>
    <w:rsid w:val="006C0878"/>
    <w:rsid w:val="006C143C"/>
    <w:rsid w:val="006C1F1C"/>
    <w:rsid w:val="006D00DB"/>
    <w:rsid w:val="006D09A6"/>
    <w:rsid w:val="006D09C5"/>
    <w:rsid w:val="006D1139"/>
    <w:rsid w:val="006D1362"/>
    <w:rsid w:val="006D1DD2"/>
    <w:rsid w:val="006D22E2"/>
    <w:rsid w:val="006D3ED8"/>
    <w:rsid w:val="006D72B5"/>
    <w:rsid w:val="006D77E6"/>
    <w:rsid w:val="006E0A85"/>
    <w:rsid w:val="006E1C3E"/>
    <w:rsid w:val="006E20C4"/>
    <w:rsid w:val="006E40AF"/>
    <w:rsid w:val="006E44E8"/>
    <w:rsid w:val="006E5A4F"/>
    <w:rsid w:val="006E5FF9"/>
    <w:rsid w:val="006E6BFC"/>
    <w:rsid w:val="006F4B6E"/>
    <w:rsid w:val="006F4DC0"/>
    <w:rsid w:val="006F5C54"/>
    <w:rsid w:val="006F6067"/>
    <w:rsid w:val="006F7070"/>
    <w:rsid w:val="006F7F2B"/>
    <w:rsid w:val="00700884"/>
    <w:rsid w:val="007010D5"/>
    <w:rsid w:val="007030DA"/>
    <w:rsid w:val="007053E6"/>
    <w:rsid w:val="007067D8"/>
    <w:rsid w:val="00707378"/>
    <w:rsid w:val="00707614"/>
    <w:rsid w:val="0071422E"/>
    <w:rsid w:val="0071673A"/>
    <w:rsid w:val="00717F77"/>
    <w:rsid w:val="00721815"/>
    <w:rsid w:val="00721A92"/>
    <w:rsid w:val="007224F8"/>
    <w:rsid w:val="007233C3"/>
    <w:rsid w:val="0072352E"/>
    <w:rsid w:val="0072629F"/>
    <w:rsid w:val="00726B32"/>
    <w:rsid w:val="00730B70"/>
    <w:rsid w:val="00733C25"/>
    <w:rsid w:val="00735822"/>
    <w:rsid w:val="0073790C"/>
    <w:rsid w:val="00740404"/>
    <w:rsid w:val="00740BB7"/>
    <w:rsid w:val="00742379"/>
    <w:rsid w:val="007442FC"/>
    <w:rsid w:val="00745158"/>
    <w:rsid w:val="00745B33"/>
    <w:rsid w:val="00753A4D"/>
    <w:rsid w:val="007544BC"/>
    <w:rsid w:val="00755744"/>
    <w:rsid w:val="0075692E"/>
    <w:rsid w:val="00757C3F"/>
    <w:rsid w:val="00760A59"/>
    <w:rsid w:val="007627F6"/>
    <w:rsid w:val="00764049"/>
    <w:rsid w:val="0076451C"/>
    <w:rsid w:val="0076483A"/>
    <w:rsid w:val="00766290"/>
    <w:rsid w:val="0076715A"/>
    <w:rsid w:val="00770D00"/>
    <w:rsid w:val="00771607"/>
    <w:rsid w:val="007720F7"/>
    <w:rsid w:val="00773FFC"/>
    <w:rsid w:val="00774481"/>
    <w:rsid w:val="00775314"/>
    <w:rsid w:val="00775372"/>
    <w:rsid w:val="007768BF"/>
    <w:rsid w:val="00776F5E"/>
    <w:rsid w:val="00781439"/>
    <w:rsid w:val="007816BB"/>
    <w:rsid w:val="00784509"/>
    <w:rsid w:val="007848C6"/>
    <w:rsid w:val="00784957"/>
    <w:rsid w:val="00784D0A"/>
    <w:rsid w:val="00786144"/>
    <w:rsid w:val="00790D32"/>
    <w:rsid w:val="00791285"/>
    <w:rsid w:val="00792D5A"/>
    <w:rsid w:val="0079442D"/>
    <w:rsid w:val="0079613C"/>
    <w:rsid w:val="00797054"/>
    <w:rsid w:val="007979A8"/>
    <w:rsid w:val="007A03F1"/>
    <w:rsid w:val="007A0BE3"/>
    <w:rsid w:val="007A1C4C"/>
    <w:rsid w:val="007A64FC"/>
    <w:rsid w:val="007A6A86"/>
    <w:rsid w:val="007A6F88"/>
    <w:rsid w:val="007B1567"/>
    <w:rsid w:val="007B18A8"/>
    <w:rsid w:val="007B3692"/>
    <w:rsid w:val="007B3E2D"/>
    <w:rsid w:val="007B3E32"/>
    <w:rsid w:val="007B5843"/>
    <w:rsid w:val="007C2BBB"/>
    <w:rsid w:val="007C49F6"/>
    <w:rsid w:val="007C674E"/>
    <w:rsid w:val="007C683D"/>
    <w:rsid w:val="007D1053"/>
    <w:rsid w:val="007D1878"/>
    <w:rsid w:val="007D2415"/>
    <w:rsid w:val="007D29E9"/>
    <w:rsid w:val="007D3230"/>
    <w:rsid w:val="007D3EA5"/>
    <w:rsid w:val="007D546C"/>
    <w:rsid w:val="007D62F6"/>
    <w:rsid w:val="007D6C29"/>
    <w:rsid w:val="007E0264"/>
    <w:rsid w:val="007E3DFA"/>
    <w:rsid w:val="007E77C1"/>
    <w:rsid w:val="007F0197"/>
    <w:rsid w:val="007F03DE"/>
    <w:rsid w:val="007F05AD"/>
    <w:rsid w:val="007F1EAC"/>
    <w:rsid w:val="007F22ED"/>
    <w:rsid w:val="007F26BC"/>
    <w:rsid w:val="007F3967"/>
    <w:rsid w:val="007F3BE6"/>
    <w:rsid w:val="007F456E"/>
    <w:rsid w:val="007F5190"/>
    <w:rsid w:val="007F5349"/>
    <w:rsid w:val="007F6EAC"/>
    <w:rsid w:val="008035AF"/>
    <w:rsid w:val="00803ECE"/>
    <w:rsid w:val="00805995"/>
    <w:rsid w:val="008062E8"/>
    <w:rsid w:val="0081067F"/>
    <w:rsid w:val="0081071B"/>
    <w:rsid w:val="00810BB5"/>
    <w:rsid w:val="00814D13"/>
    <w:rsid w:val="008152D9"/>
    <w:rsid w:val="0082033D"/>
    <w:rsid w:val="008204C0"/>
    <w:rsid w:val="008215D9"/>
    <w:rsid w:val="00821D29"/>
    <w:rsid w:val="0082460C"/>
    <w:rsid w:val="008276E2"/>
    <w:rsid w:val="008302A8"/>
    <w:rsid w:val="008313A6"/>
    <w:rsid w:val="00831BD8"/>
    <w:rsid w:val="00832844"/>
    <w:rsid w:val="0083330E"/>
    <w:rsid w:val="008344F4"/>
    <w:rsid w:val="008348BB"/>
    <w:rsid w:val="00837499"/>
    <w:rsid w:val="00841E3B"/>
    <w:rsid w:val="00843FFA"/>
    <w:rsid w:val="0084569B"/>
    <w:rsid w:val="00845FBE"/>
    <w:rsid w:val="00846BDF"/>
    <w:rsid w:val="008502AB"/>
    <w:rsid w:val="00855482"/>
    <w:rsid w:val="008555E0"/>
    <w:rsid w:val="00857367"/>
    <w:rsid w:val="00857D88"/>
    <w:rsid w:val="00860305"/>
    <w:rsid w:val="00860861"/>
    <w:rsid w:val="008639AD"/>
    <w:rsid w:val="0086406B"/>
    <w:rsid w:val="00872A6D"/>
    <w:rsid w:val="00873B1D"/>
    <w:rsid w:val="00873C2D"/>
    <w:rsid w:val="00873E4A"/>
    <w:rsid w:val="0087544A"/>
    <w:rsid w:val="008756A1"/>
    <w:rsid w:val="008758F1"/>
    <w:rsid w:val="00876063"/>
    <w:rsid w:val="0087606A"/>
    <w:rsid w:val="00876A59"/>
    <w:rsid w:val="00880F6E"/>
    <w:rsid w:val="00884A9B"/>
    <w:rsid w:val="00885805"/>
    <w:rsid w:val="00885AED"/>
    <w:rsid w:val="00890160"/>
    <w:rsid w:val="008902F4"/>
    <w:rsid w:val="00890B14"/>
    <w:rsid w:val="0089304A"/>
    <w:rsid w:val="008932A6"/>
    <w:rsid w:val="0089480F"/>
    <w:rsid w:val="008959E8"/>
    <w:rsid w:val="00896D34"/>
    <w:rsid w:val="008A04A6"/>
    <w:rsid w:val="008A5355"/>
    <w:rsid w:val="008B0886"/>
    <w:rsid w:val="008B15B2"/>
    <w:rsid w:val="008B4679"/>
    <w:rsid w:val="008B5386"/>
    <w:rsid w:val="008B72CA"/>
    <w:rsid w:val="008C04CE"/>
    <w:rsid w:val="008C2E0A"/>
    <w:rsid w:val="008C405A"/>
    <w:rsid w:val="008C466A"/>
    <w:rsid w:val="008C5DFE"/>
    <w:rsid w:val="008D08D1"/>
    <w:rsid w:val="008D3272"/>
    <w:rsid w:val="008D4134"/>
    <w:rsid w:val="008D6F58"/>
    <w:rsid w:val="008E026A"/>
    <w:rsid w:val="008E0C26"/>
    <w:rsid w:val="008E10A5"/>
    <w:rsid w:val="008E10C2"/>
    <w:rsid w:val="008E1330"/>
    <w:rsid w:val="008E344B"/>
    <w:rsid w:val="008E35C2"/>
    <w:rsid w:val="008E3E8E"/>
    <w:rsid w:val="008E50AA"/>
    <w:rsid w:val="008E58D5"/>
    <w:rsid w:val="008E59A8"/>
    <w:rsid w:val="008E5AE0"/>
    <w:rsid w:val="008E6B0D"/>
    <w:rsid w:val="008F17CF"/>
    <w:rsid w:val="008F359D"/>
    <w:rsid w:val="008F793F"/>
    <w:rsid w:val="00900EE1"/>
    <w:rsid w:val="00901259"/>
    <w:rsid w:val="009023C8"/>
    <w:rsid w:val="00903056"/>
    <w:rsid w:val="009049AE"/>
    <w:rsid w:val="00906FF3"/>
    <w:rsid w:val="009133D0"/>
    <w:rsid w:val="00914736"/>
    <w:rsid w:val="00914DEE"/>
    <w:rsid w:val="00915562"/>
    <w:rsid w:val="00916965"/>
    <w:rsid w:val="0092112E"/>
    <w:rsid w:val="00921B67"/>
    <w:rsid w:val="00922555"/>
    <w:rsid w:val="00926017"/>
    <w:rsid w:val="0092665B"/>
    <w:rsid w:val="00930451"/>
    <w:rsid w:val="009319DE"/>
    <w:rsid w:val="00931AB4"/>
    <w:rsid w:val="00931FD4"/>
    <w:rsid w:val="00932830"/>
    <w:rsid w:val="00932FD0"/>
    <w:rsid w:val="0093393D"/>
    <w:rsid w:val="009343A2"/>
    <w:rsid w:val="009374B3"/>
    <w:rsid w:val="00937C53"/>
    <w:rsid w:val="00942685"/>
    <w:rsid w:val="00945924"/>
    <w:rsid w:val="0094648C"/>
    <w:rsid w:val="0094714B"/>
    <w:rsid w:val="00951EAD"/>
    <w:rsid w:val="0095270A"/>
    <w:rsid w:val="009541DD"/>
    <w:rsid w:val="00955215"/>
    <w:rsid w:val="009556A1"/>
    <w:rsid w:val="00957366"/>
    <w:rsid w:val="00957735"/>
    <w:rsid w:val="00960462"/>
    <w:rsid w:val="00960DE0"/>
    <w:rsid w:val="00962011"/>
    <w:rsid w:val="00963A91"/>
    <w:rsid w:val="0096603D"/>
    <w:rsid w:val="009665A9"/>
    <w:rsid w:val="009700A9"/>
    <w:rsid w:val="0097137E"/>
    <w:rsid w:val="009716B6"/>
    <w:rsid w:val="00972594"/>
    <w:rsid w:val="00973A5B"/>
    <w:rsid w:val="0097623A"/>
    <w:rsid w:val="009777DB"/>
    <w:rsid w:val="00981839"/>
    <w:rsid w:val="0098312C"/>
    <w:rsid w:val="0098444C"/>
    <w:rsid w:val="009908CD"/>
    <w:rsid w:val="009931F7"/>
    <w:rsid w:val="00994892"/>
    <w:rsid w:val="00995A99"/>
    <w:rsid w:val="00996D71"/>
    <w:rsid w:val="00997A04"/>
    <w:rsid w:val="009A0454"/>
    <w:rsid w:val="009A0C2C"/>
    <w:rsid w:val="009A12A2"/>
    <w:rsid w:val="009A22FC"/>
    <w:rsid w:val="009A3134"/>
    <w:rsid w:val="009A7506"/>
    <w:rsid w:val="009B0504"/>
    <w:rsid w:val="009B06D7"/>
    <w:rsid w:val="009B28C2"/>
    <w:rsid w:val="009B46DF"/>
    <w:rsid w:val="009B508D"/>
    <w:rsid w:val="009C0666"/>
    <w:rsid w:val="009C0820"/>
    <w:rsid w:val="009C27CA"/>
    <w:rsid w:val="009C2FF0"/>
    <w:rsid w:val="009C46B4"/>
    <w:rsid w:val="009C4BD2"/>
    <w:rsid w:val="009C4F5F"/>
    <w:rsid w:val="009C628C"/>
    <w:rsid w:val="009C63EC"/>
    <w:rsid w:val="009D19BF"/>
    <w:rsid w:val="009D5A4E"/>
    <w:rsid w:val="009D5B2F"/>
    <w:rsid w:val="009E2B0C"/>
    <w:rsid w:val="009E3A37"/>
    <w:rsid w:val="009E5715"/>
    <w:rsid w:val="009E6316"/>
    <w:rsid w:val="009F04D8"/>
    <w:rsid w:val="009F278E"/>
    <w:rsid w:val="009F2933"/>
    <w:rsid w:val="009F4A5B"/>
    <w:rsid w:val="009F4D0E"/>
    <w:rsid w:val="009F53D8"/>
    <w:rsid w:val="009F6ED1"/>
    <w:rsid w:val="009F7042"/>
    <w:rsid w:val="009F7AC2"/>
    <w:rsid w:val="00A01D0E"/>
    <w:rsid w:val="00A0247E"/>
    <w:rsid w:val="00A042E9"/>
    <w:rsid w:val="00A0457F"/>
    <w:rsid w:val="00A0496F"/>
    <w:rsid w:val="00A05E4A"/>
    <w:rsid w:val="00A067A7"/>
    <w:rsid w:val="00A11ABE"/>
    <w:rsid w:val="00A11C70"/>
    <w:rsid w:val="00A15642"/>
    <w:rsid w:val="00A16B82"/>
    <w:rsid w:val="00A16FBD"/>
    <w:rsid w:val="00A17E00"/>
    <w:rsid w:val="00A21D26"/>
    <w:rsid w:val="00A2492C"/>
    <w:rsid w:val="00A2527D"/>
    <w:rsid w:val="00A26384"/>
    <w:rsid w:val="00A26B36"/>
    <w:rsid w:val="00A271B0"/>
    <w:rsid w:val="00A2727F"/>
    <w:rsid w:val="00A27950"/>
    <w:rsid w:val="00A30B23"/>
    <w:rsid w:val="00A31B09"/>
    <w:rsid w:val="00A32E89"/>
    <w:rsid w:val="00A33E93"/>
    <w:rsid w:val="00A343F0"/>
    <w:rsid w:val="00A34626"/>
    <w:rsid w:val="00A375B3"/>
    <w:rsid w:val="00A41078"/>
    <w:rsid w:val="00A41975"/>
    <w:rsid w:val="00A4200F"/>
    <w:rsid w:val="00A44414"/>
    <w:rsid w:val="00A45D7B"/>
    <w:rsid w:val="00A45F97"/>
    <w:rsid w:val="00A51C17"/>
    <w:rsid w:val="00A52571"/>
    <w:rsid w:val="00A54493"/>
    <w:rsid w:val="00A546FB"/>
    <w:rsid w:val="00A54BB5"/>
    <w:rsid w:val="00A6098A"/>
    <w:rsid w:val="00A618A9"/>
    <w:rsid w:val="00A61943"/>
    <w:rsid w:val="00A62BFB"/>
    <w:rsid w:val="00A6459A"/>
    <w:rsid w:val="00A66519"/>
    <w:rsid w:val="00A670DA"/>
    <w:rsid w:val="00A67E31"/>
    <w:rsid w:val="00A72551"/>
    <w:rsid w:val="00A725E1"/>
    <w:rsid w:val="00A73A80"/>
    <w:rsid w:val="00A73CD7"/>
    <w:rsid w:val="00A74FD4"/>
    <w:rsid w:val="00A80E8E"/>
    <w:rsid w:val="00A80EE8"/>
    <w:rsid w:val="00A819A2"/>
    <w:rsid w:val="00A831AD"/>
    <w:rsid w:val="00A849A3"/>
    <w:rsid w:val="00A853C6"/>
    <w:rsid w:val="00A86B4C"/>
    <w:rsid w:val="00A86E43"/>
    <w:rsid w:val="00A900A6"/>
    <w:rsid w:val="00A90723"/>
    <w:rsid w:val="00A90EBD"/>
    <w:rsid w:val="00A90ED9"/>
    <w:rsid w:val="00A93598"/>
    <w:rsid w:val="00A935FF"/>
    <w:rsid w:val="00A9373B"/>
    <w:rsid w:val="00A94AB1"/>
    <w:rsid w:val="00A94CB9"/>
    <w:rsid w:val="00A96016"/>
    <w:rsid w:val="00AA13D1"/>
    <w:rsid w:val="00AA1B08"/>
    <w:rsid w:val="00AA2776"/>
    <w:rsid w:val="00AA3F47"/>
    <w:rsid w:val="00AA4AA8"/>
    <w:rsid w:val="00AB0E22"/>
    <w:rsid w:val="00AB12CC"/>
    <w:rsid w:val="00AB1DAF"/>
    <w:rsid w:val="00AB7AED"/>
    <w:rsid w:val="00AC17F0"/>
    <w:rsid w:val="00AC1DE0"/>
    <w:rsid w:val="00AC7D32"/>
    <w:rsid w:val="00AC7E74"/>
    <w:rsid w:val="00AD0687"/>
    <w:rsid w:val="00AD39F3"/>
    <w:rsid w:val="00AD450D"/>
    <w:rsid w:val="00AD761B"/>
    <w:rsid w:val="00AE0201"/>
    <w:rsid w:val="00AE12B0"/>
    <w:rsid w:val="00AE2E49"/>
    <w:rsid w:val="00AE3867"/>
    <w:rsid w:val="00AE4A53"/>
    <w:rsid w:val="00AE58A1"/>
    <w:rsid w:val="00AE5DAD"/>
    <w:rsid w:val="00AE62E6"/>
    <w:rsid w:val="00AE6346"/>
    <w:rsid w:val="00AE7352"/>
    <w:rsid w:val="00AF0521"/>
    <w:rsid w:val="00AF0C1C"/>
    <w:rsid w:val="00AF0D65"/>
    <w:rsid w:val="00AF2B29"/>
    <w:rsid w:val="00AF610C"/>
    <w:rsid w:val="00AF7EF3"/>
    <w:rsid w:val="00B0122A"/>
    <w:rsid w:val="00B03762"/>
    <w:rsid w:val="00B03C52"/>
    <w:rsid w:val="00B04C4E"/>
    <w:rsid w:val="00B05D1F"/>
    <w:rsid w:val="00B06F9D"/>
    <w:rsid w:val="00B10302"/>
    <w:rsid w:val="00B1416D"/>
    <w:rsid w:val="00B14E61"/>
    <w:rsid w:val="00B1626C"/>
    <w:rsid w:val="00B16FD8"/>
    <w:rsid w:val="00B17638"/>
    <w:rsid w:val="00B17EEA"/>
    <w:rsid w:val="00B216E8"/>
    <w:rsid w:val="00B27C50"/>
    <w:rsid w:val="00B30A08"/>
    <w:rsid w:val="00B30E04"/>
    <w:rsid w:val="00B333BC"/>
    <w:rsid w:val="00B35C29"/>
    <w:rsid w:val="00B360A8"/>
    <w:rsid w:val="00B36A70"/>
    <w:rsid w:val="00B36D13"/>
    <w:rsid w:val="00B37038"/>
    <w:rsid w:val="00B41C61"/>
    <w:rsid w:val="00B42A32"/>
    <w:rsid w:val="00B42B02"/>
    <w:rsid w:val="00B42D11"/>
    <w:rsid w:val="00B43A92"/>
    <w:rsid w:val="00B44DDB"/>
    <w:rsid w:val="00B4662B"/>
    <w:rsid w:val="00B4675F"/>
    <w:rsid w:val="00B47224"/>
    <w:rsid w:val="00B47DA6"/>
    <w:rsid w:val="00B50E8E"/>
    <w:rsid w:val="00B542BA"/>
    <w:rsid w:val="00B5699D"/>
    <w:rsid w:val="00B56E88"/>
    <w:rsid w:val="00B618E3"/>
    <w:rsid w:val="00B63C29"/>
    <w:rsid w:val="00B653EC"/>
    <w:rsid w:val="00B65A7A"/>
    <w:rsid w:val="00B70C12"/>
    <w:rsid w:val="00B7257F"/>
    <w:rsid w:val="00B7292D"/>
    <w:rsid w:val="00B736C1"/>
    <w:rsid w:val="00B75E3F"/>
    <w:rsid w:val="00B768EC"/>
    <w:rsid w:val="00B803A7"/>
    <w:rsid w:val="00B80DDF"/>
    <w:rsid w:val="00B81035"/>
    <w:rsid w:val="00B8338E"/>
    <w:rsid w:val="00B84AE5"/>
    <w:rsid w:val="00B84BAF"/>
    <w:rsid w:val="00B861EE"/>
    <w:rsid w:val="00B86DA5"/>
    <w:rsid w:val="00B908C9"/>
    <w:rsid w:val="00B90BA4"/>
    <w:rsid w:val="00B914B6"/>
    <w:rsid w:val="00B92706"/>
    <w:rsid w:val="00B92971"/>
    <w:rsid w:val="00B930B1"/>
    <w:rsid w:val="00B93EBF"/>
    <w:rsid w:val="00B95763"/>
    <w:rsid w:val="00B961EC"/>
    <w:rsid w:val="00B96AD5"/>
    <w:rsid w:val="00BA0BC5"/>
    <w:rsid w:val="00BA20DC"/>
    <w:rsid w:val="00BA3691"/>
    <w:rsid w:val="00BA4365"/>
    <w:rsid w:val="00BA4986"/>
    <w:rsid w:val="00BA4A01"/>
    <w:rsid w:val="00BA6C2E"/>
    <w:rsid w:val="00BB1501"/>
    <w:rsid w:val="00BB2B27"/>
    <w:rsid w:val="00BB315B"/>
    <w:rsid w:val="00BB500F"/>
    <w:rsid w:val="00BB767B"/>
    <w:rsid w:val="00BB7F6B"/>
    <w:rsid w:val="00BC08B4"/>
    <w:rsid w:val="00BC2EBD"/>
    <w:rsid w:val="00BC370E"/>
    <w:rsid w:val="00BC3F7D"/>
    <w:rsid w:val="00BD2D4E"/>
    <w:rsid w:val="00BD6177"/>
    <w:rsid w:val="00BD7AB7"/>
    <w:rsid w:val="00BE0B04"/>
    <w:rsid w:val="00BE2C60"/>
    <w:rsid w:val="00BE2FF3"/>
    <w:rsid w:val="00BE4D92"/>
    <w:rsid w:val="00BE6436"/>
    <w:rsid w:val="00BE64D0"/>
    <w:rsid w:val="00BF0F25"/>
    <w:rsid w:val="00BF2B66"/>
    <w:rsid w:val="00BF306B"/>
    <w:rsid w:val="00BF45A2"/>
    <w:rsid w:val="00BF649B"/>
    <w:rsid w:val="00BF6923"/>
    <w:rsid w:val="00BF7E70"/>
    <w:rsid w:val="00C0228C"/>
    <w:rsid w:val="00C023E0"/>
    <w:rsid w:val="00C02A4F"/>
    <w:rsid w:val="00C03908"/>
    <w:rsid w:val="00C05899"/>
    <w:rsid w:val="00C06BCD"/>
    <w:rsid w:val="00C07855"/>
    <w:rsid w:val="00C07C9B"/>
    <w:rsid w:val="00C13AC8"/>
    <w:rsid w:val="00C15766"/>
    <w:rsid w:val="00C23E50"/>
    <w:rsid w:val="00C32F4A"/>
    <w:rsid w:val="00C333B5"/>
    <w:rsid w:val="00C33C15"/>
    <w:rsid w:val="00C3409B"/>
    <w:rsid w:val="00C34525"/>
    <w:rsid w:val="00C35692"/>
    <w:rsid w:val="00C35AF0"/>
    <w:rsid w:val="00C35B3A"/>
    <w:rsid w:val="00C35B4B"/>
    <w:rsid w:val="00C36A51"/>
    <w:rsid w:val="00C3700E"/>
    <w:rsid w:val="00C37B2B"/>
    <w:rsid w:val="00C40EFA"/>
    <w:rsid w:val="00C4165D"/>
    <w:rsid w:val="00C4241A"/>
    <w:rsid w:val="00C42636"/>
    <w:rsid w:val="00C42E93"/>
    <w:rsid w:val="00C43148"/>
    <w:rsid w:val="00C44063"/>
    <w:rsid w:val="00C44665"/>
    <w:rsid w:val="00C44DB7"/>
    <w:rsid w:val="00C45CB8"/>
    <w:rsid w:val="00C45DA7"/>
    <w:rsid w:val="00C4692D"/>
    <w:rsid w:val="00C46E36"/>
    <w:rsid w:val="00C544A1"/>
    <w:rsid w:val="00C576E6"/>
    <w:rsid w:val="00C57E79"/>
    <w:rsid w:val="00C61177"/>
    <w:rsid w:val="00C6185D"/>
    <w:rsid w:val="00C63418"/>
    <w:rsid w:val="00C63496"/>
    <w:rsid w:val="00C64580"/>
    <w:rsid w:val="00C647F5"/>
    <w:rsid w:val="00C67127"/>
    <w:rsid w:val="00C704BE"/>
    <w:rsid w:val="00C70D14"/>
    <w:rsid w:val="00C711E0"/>
    <w:rsid w:val="00C720D9"/>
    <w:rsid w:val="00C734BB"/>
    <w:rsid w:val="00C747A8"/>
    <w:rsid w:val="00C8006D"/>
    <w:rsid w:val="00C81543"/>
    <w:rsid w:val="00C83462"/>
    <w:rsid w:val="00C83F73"/>
    <w:rsid w:val="00C84C51"/>
    <w:rsid w:val="00C87128"/>
    <w:rsid w:val="00C90455"/>
    <w:rsid w:val="00C90C58"/>
    <w:rsid w:val="00C92251"/>
    <w:rsid w:val="00C934F0"/>
    <w:rsid w:val="00C942D3"/>
    <w:rsid w:val="00C95329"/>
    <w:rsid w:val="00C969DD"/>
    <w:rsid w:val="00C975BF"/>
    <w:rsid w:val="00CA25C0"/>
    <w:rsid w:val="00CA31B4"/>
    <w:rsid w:val="00CA5BAE"/>
    <w:rsid w:val="00CB02D3"/>
    <w:rsid w:val="00CB2E6F"/>
    <w:rsid w:val="00CB5ED5"/>
    <w:rsid w:val="00CB755E"/>
    <w:rsid w:val="00CB773F"/>
    <w:rsid w:val="00CC1F80"/>
    <w:rsid w:val="00CC1FD9"/>
    <w:rsid w:val="00CC330A"/>
    <w:rsid w:val="00CC42F7"/>
    <w:rsid w:val="00CC4604"/>
    <w:rsid w:val="00CC4841"/>
    <w:rsid w:val="00CC4A26"/>
    <w:rsid w:val="00CC5281"/>
    <w:rsid w:val="00CC5C3C"/>
    <w:rsid w:val="00CC5F9A"/>
    <w:rsid w:val="00CC6541"/>
    <w:rsid w:val="00CC6732"/>
    <w:rsid w:val="00CC7AA4"/>
    <w:rsid w:val="00CC7B8A"/>
    <w:rsid w:val="00CD2871"/>
    <w:rsid w:val="00CD2D87"/>
    <w:rsid w:val="00CD4AF5"/>
    <w:rsid w:val="00CD4BF3"/>
    <w:rsid w:val="00CD5467"/>
    <w:rsid w:val="00CD6B75"/>
    <w:rsid w:val="00CD6B84"/>
    <w:rsid w:val="00CE0681"/>
    <w:rsid w:val="00CE0FE7"/>
    <w:rsid w:val="00CE10C6"/>
    <w:rsid w:val="00CE35D2"/>
    <w:rsid w:val="00CE4E9C"/>
    <w:rsid w:val="00CE7461"/>
    <w:rsid w:val="00CE7A06"/>
    <w:rsid w:val="00CE7A4E"/>
    <w:rsid w:val="00CF10DA"/>
    <w:rsid w:val="00CF2D0D"/>
    <w:rsid w:val="00CF30B6"/>
    <w:rsid w:val="00CF5E4D"/>
    <w:rsid w:val="00D0009B"/>
    <w:rsid w:val="00D0069A"/>
    <w:rsid w:val="00D00D8A"/>
    <w:rsid w:val="00D01331"/>
    <w:rsid w:val="00D025FE"/>
    <w:rsid w:val="00D0388B"/>
    <w:rsid w:val="00D03960"/>
    <w:rsid w:val="00D050C4"/>
    <w:rsid w:val="00D06B1F"/>
    <w:rsid w:val="00D06DAF"/>
    <w:rsid w:val="00D12C8E"/>
    <w:rsid w:val="00D13714"/>
    <w:rsid w:val="00D13CF0"/>
    <w:rsid w:val="00D15507"/>
    <w:rsid w:val="00D1617F"/>
    <w:rsid w:val="00D1663D"/>
    <w:rsid w:val="00D176CE"/>
    <w:rsid w:val="00D21157"/>
    <w:rsid w:val="00D21C4E"/>
    <w:rsid w:val="00D24776"/>
    <w:rsid w:val="00D252A6"/>
    <w:rsid w:val="00D253C4"/>
    <w:rsid w:val="00D27AE9"/>
    <w:rsid w:val="00D30214"/>
    <w:rsid w:val="00D30476"/>
    <w:rsid w:val="00D32A17"/>
    <w:rsid w:val="00D34692"/>
    <w:rsid w:val="00D347A5"/>
    <w:rsid w:val="00D36469"/>
    <w:rsid w:val="00D379D1"/>
    <w:rsid w:val="00D40E6F"/>
    <w:rsid w:val="00D4216F"/>
    <w:rsid w:val="00D4326E"/>
    <w:rsid w:val="00D45A94"/>
    <w:rsid w:val="00D45E14"/>
    <w:rsid w:val="00D51CBA"/>
    <w:rsid w:val="00D55F5C"/>
    <w:rsid w:val="00D565B5"/>
    <w:rsid w:val="00D5725E"/>
    <w:rsid w:val="00D6006F"/>
    <w:rsid w:val="00D613AD"/>
    <w:rsid w:val="00D63217"/>
    <w:rsid w:val="00D63F33"/>
    <w:rsid w:val="00D644A7"/>
    <w:rsid w:val="00D65118"/>
    <w:rsid w:val="00D65882"/>
    <w:rsid w:val="00D66B45"/>
    <w:rsid w:val="00D67BE6"/>
    <w:rsid w:val="00D70215"/>
    <w:rsid w:val="00D703AE"/>
    <w:rsid w:val="00D7667D"/>
    <w:rsid w:val="00D7682F"/>
    <w:rsid w:val="00D77C17"/>
    <w:rsid w:val="00D80DCF"/>
    <w:rsid w:val="00D815E3"/>
    <w:rsid w:val="00D822BE"/>
    <w:rsid w:val="00D834E8"/>
    <w:rsid w:val="00D90B6E"/>
    <w:rsid w:val="00D915D8"/>
    <w:rsid w:val="00D91DC4"/>
    <w:rsid w:val="00D92ECC"/>
    <w:rsid w:val="00D945EA"/>
    <w:rsid w:val="00D94C7E"/>
    <w:rsid w:val="00D95B87"/>
    <w:rsid w:val="00D95EC1"/>
    <w:rsid w:val="00D96181"/>
    <w:rsid w:val="00DA2B4E"/>
    <w:rsid w:val="00DA398A"/>
    <w:rsid w:val="00DA48B8"/>
    <w:rsid w:val="00DA546C"/>
    <w:rsid w:val="00DA76B3"/>
    <w:rsid w:val="00DB0400"/>
    <w:rsid w:val="00DB415E"/>
    <w:rsid w:val="00DB5651"/>
    <w:rsid w:val="00DB69EF"/>
    <w:rsid w:val="00DB727D"/>
    <w:rsid w:val="00DC1FEF"/>
    <w:rsid w:val="00DC4EBF"/>
    <w:rsid w:val="00DC542B"/>
    <w:rsid w:val="00DC7091"/>
    <w:rsid w:val="00DD0562"/>
    <w:rsid w:val="00DD1CD6"/>
    <w:rsid w:val="00DD24D1"/>
    <w:rsid w:val="00DD2E52"/>
    <w:rsid w:val="00DD3A10"/>
    <w:rsid w:val="00DD3DAC"/>
    <w:rsid w:val="00DD5C50"/>
    <w:rsid w:val="00DD5DED"/>
    <w:rsid w:val="00DD5FB2"/>
    <w:rsid w:val="00DE0905"/>
    <w:rsid w:val="00DE0EB7"/>
    <w:rsid w:val="00DE1EB3"/>
    <w:rsid w:val="00DE24D2"/>
    <w:rsid w:val="00DE305E"/>
    <w:rsid w:val="00DE3C21"/>
    <w:rsid w:val="00DE4750"/>
    <w:rsid w:val="00DE477C"/>
    <w:rsid w:val="00DE7AC8"/>
    <w:rsid w:val="00DF00E5"/>
    <w:rsid w:val="00DF017E"/>
    <w:rsid w:val="00DF3C2A"/>
    <w:rsid w:val="00DF615F"/>
    <w:rsid w:val="00DF65E2"/>
    <w:rsid w:val="00DF7891"/>
    <w:rsid w:val="00E00283"/>
    <w:rsid w:val="00E00A52"/>
    <w:rsid w:val="00E03923"/>
    <w:rsid w:val="00E03C66"/>
    <w:rsid w:val="00E11548"/>
    <w:rsid w:val="00E11D56"/>
    <w:rsid w:val="00E161B3"/>
    <w:rsid w:val="00E20D46"/>
    <w:rsid w:val="00E21933"/>
    <w:rsid w:val="00E244E1"/>
    <w:rsid w:val="00E24B0B"/>
    <w:rsid w:val="00E2512D"/>
    <w:rsid w:val="00E30651"/>
    <w:rsid w:val="00E32F58"/>
    <w:rsid w:val="00E33373"/>
    <w:rsid w:val="00E33EF1"/>
    <w:rsid w:val="00E35271"/>
    <w:rsid w:val="00E35DC0"/>
    <w:rsid w:val="00E37677"/>
    <w:rsid w:val="00E40533"/>
    <w:rsid w:val="00E42695"/>
    <w:rsid w:val="00E4356A"/>
    <w:rsid w:val="00E4440C"/>
    <w:rsid w:val="00E50389"/>
    <w:rsid w:val="00E521C8"/>
    <w:rsid w:val="00E526F7"/>
    <w:rsid w:val="00E52DCF"/>
    <w:rsid w:val="00E52E60"/>
    <w:rsid w:val="00E550A8"/>
    <w:rsid w:val="00E5538D"/>
    <w:rsid w:val="00E56ED5"/>
    <w:rsid w:val="00E6028A"/>
    <w:rsid w:val="00E61B6E"/>
    <w:rsid w:val="00E622CD"/>
    <w:rsid w:val="00E64DEB"/>
    <w:rsid w:val="00E65AC6"/>
    <w:rsid w:val="00E668A0"/>
    <w:rsid w:val="00E66D0D"/>
    <w:rsid w:val="00E67148"/>
    <w:rsid w:val="00E6789E"/>
    <w:rsid w:val="00E709EF"/>
    <w:rsid w:val="00E72C62"/>
    <w:rsid w:val="00E73A09"/>
    <w:rsid w:val="00E75A59"/>
    <w:rsid w:val="00E80C9F"/>
    <w:rsid w:val="00E8373D"/>
    <w:rsid w:val="00E846BD"/>
    <w:rsid w:val="00E8523B"/>
    <w:rsid w:val="00E91AA9"/>
    <w:rsid w:val="00E928CF"/>
    <w:rsid w:val="00E95F05"/>
    <w:rsid w:val="00E96736"/>
    <w:rsid w:val="00E97C5D"/>
    <w:rsid w:val="00EB0396"/>
    <w:rsid w:val="00EB0712"/>
    <w:rsid w:val="00EB1136"/>
    <w:rsid w:val="00EB2438"/>
    <w:rsid w:val="00EB2849"/>
    <w:rsid w:val="00EB4226"/>
    <w:rsid w:val="00EB5F7E"/>
    <w:rsid w:val="00EB6722"/>
    <w:rsid w:val="00EB6D9E"/>
    <w:rsid w:val="00EB6DD1"/>
    <w:rsid w:val="00EB7344"/>
    <w:rsid w:val="00EC0354"/>
    <w:rsid w:val="00EC109E"/>
    <w:rsid w:val="00EC1B4C"/>
    <w:rsid w:val="00EC20FC"/>
    <w:rsid w:val="00EC25B0"/>
    <w:rsid w:val="00EC25C6"/>
    <w:rsid w:val="00EC34AC"/>
    <w:rsid w:val="00EC4A6D"/>
    <w:rsid w:val="00EC64FB"/>
    <w:rsid w:val="00ED168A"/>
    <w:rsid w:val="00ED174B"/>
    <w:rsid w:val="00ED5F52"/>
    <w:rsid w:val="00ED6959"/>
    <w:rsid w:val="00ED7B00"/>
    <w:rsid w:val="00EE0482"/>
    <w:rsid w:val="00EE2472"/>
    <w:rsid w:val="00EE2758"/>
    <w:rsid w:val="00EE55C3"/>
    <w:rsid w:val="00EF090A"/>
    <w:rsid w:val="00EF09F1"/>
    <w:rsid w:val="00EF14F8"/>
    <w:rsid w:val="00EF17EE"/>
    <w:rsid w:val="00EF3030"/>
    <w:rsid w:val="00EF3139"/>
    <w:rsid w:val="00EF3CD4"/>
    <w:rsid w:val="00EF7D6B"/>
    <w:rsid w:val="00F017E0"/>
    <w:rsid w:val="00F026D8"/>
    <w:rsid w:val="00F034A1"/>
    <w:rsid w:val="00F04BE0"/>
    <w:rsid w:val="00F04C67"/>
    <w:rsid w:val="00F07B18"/>
    <w:rsid w:val="00F120FB"/>
    <w:rsid w:val="00F12310"/>
    <w:rsid w:val="00F1733F"/>
    <w:rsid w:val="00F17D88"/>
    <w:rsid w:val="00F17E2D"/>
    <w:rsid w:val="00F2011E"/>
    <w:rsid w:val="00F22F74"/>
    <w:rsid w:val="00F22FBE"/>
    <w:rsid w:val="00F24BC4"/>
    <w:rsid w:val="00F25687"/>
    <w:rsid w:val="00F2711F"/>
    <w:rsid w:val="00F27C86"/>
    <w:rsid w:val="00F30724"/>
    <w:rsid w:val="00F30B17"/>
    <w:rsid w:val="00F30D9A"/>
    <w:rsid w:val="00F33E73"/>
    <w:rsid w:val="00F34205"/>
    <w:rsid w:val="00F354F5"/>
    <w:rsid w:val="00F36612"/>
    <w:rsid w:val="00F372B0"/>
    <w:rsid w:val="00F37547"/>
    <w:rsid w:val="00F37793"/>
    <w:rsid w:val="00F37F09"/>
    <w:rsid w:val="00F40801"/>
    <w:rsid w:val="00F41437"/>
    <w:rsid w:val="00F41E4B"/>
    <w:rsid w:val="00F42020"/>
    <w:rsid w:val="00F42413"/>
    <w:rsid w:val="00F42B5E"/>
    <w:rsid w:val="00F43177"/>
    <w:rsid w:val="00F436B1"/>
    <w:rsid w:val="00F470A6"/>
    <w:rsid w:val="00F47A04"/>
    <w:rsid w:val="00F47FFE"/>
    <w:rsid w:val="00F50147"/>
    <w:rsid w:val="00F505DF"/>
    <w:rsid w:val="00F52794"/>
    <w:rsid w:val="00F52798"/>
    <w:rsid w:val="00F534CA"/>
    <w:rsid w:val="00F53B53"/>
    <w:rsid w:val="00F54F96"/>
    <w:rsid w:val="00F55240"/>
    <w:rsid w:val="00F55503"/>
    <w:rsid w:val="00F60D8C"/>
    <w:rsid w:val="00F61FC8"/>
    <w:rsid w:val="00F6201C"/>
    <w:rsid w:val="00F625AE"/>
    <w:rsid w:val="00F637B9"/>
    <w:rsid w:val="00F64C53"/>
    <w:rsid w:val="00F65E7F"/>
    <w:rsid w:val="00F66256"/>
    <w:rsid w:val="00F66295"/>
    <w:rsid w:val="00F66A5A"/>
    <w:rsid w:val="00F66C34"/>
    <w:rsid w:val="00F70825"/>
    <w:rsid w:val="00F72A6B"/>
    <w:rsid w:val="00F74602"/>
    <w:rsid w:val="00F74BFF"/>
    <w:rsid w:val="00F810F9"/>
    <w:rsid w:val="00F825A1"/>
    <w:rsid w:val="00F839F2"/>
    <w:rsid w:val="00F83B7E"/>
    <w:rsid w:val="00F84386"/>
    <w:rsid w:val="00F8460F"/>
    <w:rsid w:val="00F860A6"/>
    <w:rsid w:val="00F90702"/>
    <w:rsid w:val="00F917E0"/>
    <w:rsid w:val="00F922F0"/>
    <w:rsid w:val="00F93FF1"/>
    <w:rsid w:val="00F9581C"/>
    <w:rsid w:val="00F96146"/>
    <w:rsid w:val="00F97C43"/>
    <w:rsid w:val="00FA0704"/>
    <w:rsid w:val="00FA2065"/>
    <w:rsid w:val="00FA23DD"/>
    <w:rsid w:val="00FA2EB7"/>
    <w:rsid w:val="00FA300D"/>
    <w:rsid w:val="00FA38A3"/>
    <w:rsid w:val="00FA39D6"/>
    <w:rsid w:val="00FA3C0C"/>
    <w:rsid w:val="00FA47CD"/>
    <w:rsid w:val="00FA62FC"/>
    <w:rsid w:val="00FA6ED3"/>
    <w:rsid w:val="00FB1089"/>
    <w:rsid w:val="00FB2246"/>
    <w:rsid w:val="00FB4D06"/>
    <w:rsid w:val="00FB7BD5"/>
    <w:rsid w:val="00FC108A"/>
    <w:rsid w:val="00FC1238"/>
    <w:rsid w:val="00FC13E9"/>
    <w:rsid w:val="00FC7E92"/>
    <w:rsid w:val="00FD395A"/>
    <w:rsid w:val="00FD4C7E"/>
    <w:rsid w:val="00FD5B9F"/>
    <w:rsid w:val="00FD688E"/>
    <w:rsid w:val="00FD7ACE"/>
    <w:rsid w:val="00FE092B"/>
    <w:rsid w:val="00FE0C49"/>
    <w:rsid w:val="00FE75A5"/>
    <w:rsid w:val="00FF072A"/>
    <w:rsid w:val="00FF1D10"/>
    <w:rsid w:val="00FF1F1C"/>
    <w:rsid w:val="00FF217B"/>
    <w:rsid w:val="00FF4EE0"/>
    <w:rsid w:val="00FF6F9D"/>
    <w:rsid w:val="011A7A5D"/>
    <w:rsid w:val="01361E7F"/>
    <w:rsid w:val="0160258C"/>
    <w:rsid w:val="01730670"/>
    <w:rsid w:val="01A65FF6"/>
    <w:rsid w:val="0209574B"/>
    <w:rsid w:val="0274049B"/>
    <w:rsid w:val="02DB1A8C"/>
    <w:rsid w:val="031A582E"/>
    <w:rsid w:val="03492CD0"/>
    <w:rsid w:val="035B6FFF"/>
    <w:rsid w:val="03D17B77"/>
    <w:rsid w:val="03F15C0C"/>
    <w:rsid w:val="044A0521"/>
    <w:rsid w:val="046430CE"/>
    <w:rsid w:val="04694ED2"/>
    <w:rsid w:val="04A419EE"/>
    <w:rsid w:val="04E00E1C"/>
    <w:rsid w:val="04FB5628"/>
    <w:rsid w:val="050A1605"/>
    <w:rsid w:val="05A918BA"/>
    <w:rsid w:val="05AC66DE"/>
    <w:rsid w:val="06060C03"/>
    <w:rsid w:val="061F4E2D"/>
    <w:rsid w:val="062437C1"/>
    <w:rsid w:val="06337152"/>
    <w:rsid w:val="0639361E"/>
    <w:rsid w:val="065B741D"/>
    <w:rsid w:val="06C01BD2"/>
    <w:rsid w:val="06EF36B1"/>
    <w:rsid w:val="07201CEE"/>
    <w:rsid w:val="074630C9"/>
    <w:rsid w:val="075C1AE5"/>
    <w:rsid w:val="07AD07A4"/>
    <w:rsid w:val="07D53003"/>
    <w:rsid w:val="082C0B99"/>
    <w:rsid w:val="085E2315"/>
    <w:rsid w:val="08F31410"/>
    <w:rsid w:val="08F97153"/>
    <w:rsid w:val="08F97583"/>
    <w:rsid w:val="0AD649EC"/>
    <w:rsid w:val="0AEF2456"/>
    <w:rsid w:val="0B04071E"/>
    <w:rsid w:val="0B5928E3"/>
    <w:rsid w:val="0B6B5EE5"/>
    <w:rsid w:val="0B8E1685"/>
    <w:rsid w:val="0BC86EC0"/>
    <w:rsid w:val="0C461CD9"/>
    <w:rsid w:val="0C9E59EC"/>
    <w:rsid w:val="0CD056D7"/>
    <w:rsid w:val="0CD87AE2"/>
    <w:rsid w:val="0D4304A0"/>
    <w:rsid w:val="0D654C32"/>
    <w:rsid w:val="0D751EC9"/>
    <w:rsid w:val="0E12799C"/>
    <w:rsid w:val="0E153695"/>
    <w:rsid w:val="0E495A35"/>
    <w:rsid w:val="0EEA47FB"/>
    <w:rsid w:val="0EF55726"/>
    <w:rsid w:val="0F622579"/>
    <w:rsid w:val="0F7E548B"/>
    <w:rsid w:val="0FFD412A"/>
    <w:rsid w:val="100618BC"/>
    <w:rsid w:val="10242C10"/>
    <w:rsid w:val="104C56BC"/>
    <w:rsid w:val="10521533"/>
    <w:rsid w:val="10770E9C"/>
    <w:rsid w:val="10E310AD"/>
    <w:rsid w:val="10F67F9B"/>
    <w:rsid w:val="10FF4B76"/>
    <w:rsid w:val="11B549C7"/>
    <w:rsid w:val="12065C38"/>
    <w:rsid w:val="12073030"/>
    <w:rsid w:val="125C1A77"/>
    <w:rsid w:val="12CF701E"/>
    <w:rsid w:val="12D73722"/>
    <w:rsid w:val="133200E7"/>
    <w:rsid w:val="135F03B8"/>
    <w:rsid w:val="136E3E47"/>
    <w:rsid w:val="138B3C5D"/>
    <w:rsid w:val="13A40A83"/>
    <w:rsid w:val="141B48FC"/>
    <w:rsid w:val="143A3032"/>
    <w:rsid w:val="14684771"/>
    <w:rsid w:val="15B077FC"/>
    <w:rsid w:val="15B240EF"/>
    <w:rsid w:val="16147B80"/>
    <w:rsid w:val="16757FF1"/>
    <w:rsid w:val="16A570F7"/>
    <w:rsid w:val="16A7031A"/>
    <w:rsid w:val="16B90DAA"/>
    <w:rsid w:val="16E733B1"/>
    <w:rsid w:val="17503AB9"/>
    <w:rsid w:val="178D4C7B"/>
    <w:rsid w:val="179F6806"/>
    <w:rsid w:val="17DA2FF2"/>
    <w:rsid w:val="18327DC8"/>
    <w:rsid w:val="18650475"/>
    <w:rsid w:val="18706ECD"/>
    <w:rsid w:val="1894263F"/>
    <w:rsid w:val="18A452C4"/>
    <w:rsid w:val="18BF1178"/>
    <w:rsid w:val="193E422E"/>
    <w:rsid w:val="196E7898"/>
    <w:rsid w:val="198C0288"/>
    <w:rsid w:val="19F8331A"/>
    <w:rsid w:val="1A552981"/>
    <w:rsid w:val="1AD745BF"/>
    <w:rsid w:val="1AF40646"/>
    <w:rsid w:val="1B111FE2"/>
    <w:rsid w:val="1B455605"/>
    <w:rsid w:val="1B5A5D03"/>
    <w:rsid w:val="1BA04175"/>
    <w:rsid w:val="1C06017D"/>
    <w:rsid w:val="1C2A14B4"/>
    <w:rsid w:val="1C6819C8"/>
    <w:rsid w:val="1D4B1771"/>
    <w:rsid w:val="1DA438FD"/>
    <w:rsid w:val="1DBF1BD2"/>
    <w:rsid w:val="1E4F5B29"/>
    <w:rsid w:val="1EBA25B9"/>
    <w:rsid w:val="1EC035F3"/>
    <w:rsid w:val="1F08273D"/>
    <w:rsid w:val="1F4718C6"/>
    <w:rsid w:val="1F5C7CA9"/>
    <w:rsid w:val="20135D46"/>
    <w:rsid w:val="20F9084C"/>
    <w:rsid w:val="211F63AB"/>
    <w:rsid w:val="21306FAE"/>
    <w:rsid w:val="213154EF"/>
    <w:rsid w:val="213C3083"/>
    <w:rsid w:val="21417D6E"/>
    <w:rsid w:val="217D44A2"/>
    <w:rsid w:val="21F30C7E"/>
    <w:rsid w:val="221D6CD2"/>
    <w:rsid w:val="22221363"/>
    <w:rsid w:val="22642D81"/>
    <w:rsid w:val="22A60007"/>
    <w:rsid w:val="2359043D"/>
    <w:rsid w:val="23F83E24"/>
    <w:rsid w:val="24055293"/>
    <w:rsid w:val="2456550E"/>
    <w:rsid w:val="24EB0122"/>
    <w:rsid w:val="25126E20"/>
    <w:rsid w:val="252310D8"/>
    <w:rsid w:val="256B4687"/>
    <w:rsid w:val="25741A74"/>
    <w:rsid w:val="26A9441E"/>
    <w:rsid w:val="274A4314"/>
    <w:rsid w:val="27672A0F"/>
    <w:rsid w:val="27FCA662"/>
    <w:rsid w:val="28081D34"/>
    <w:rsid w:val="284A0387"/>
    <w:rsid w:val="286C20A7"/>
    <w:rsid w:val="28B3095D"/>
    <w:rsid w:val="28DC64B4"/>
    <w:rsid w:val="29160FB0"/>
    <w:rsid w:val="292C6381"/>
    <w:rsid w:val="29EF1C10"/>
    <w:rsid w:val="2A48212D"/>
    <w:rsid w:val="2A54292A"/>
    <w:rsid w:val="2A8F246F"/>
    <w:rsid w:val="2B0D3223"/>
    <w:rsid w:val="2B4951A6"/>
    <w:rsid w:val="2B5D3216"/>
    <w:rsid w:val="2B9364FC"/>
    <w:rsid w:val="2BBE2C89"/>
    <w:rsid w:val="2C002793"/>
    <w:rsid w:val="2C6C3918"/>
    <w:rsid w:val="2CAE4244"/>
    <w:rsid w:val="2CDE36B8"/>
    <w:rsid w:val="2CF444AB"/>
    <w:rsid w:val="2D042383"/>
    <w:rsid w:val="2D075ACB"/>
    <w:rsid w:val="2DCF758D"/>
    <w:rsid w:val="2E1613A8"/>
    <w:rsid w:val="2E266669"/>
    <w:rsid w:val="2E423520"/>
    <w:rsid w:val="2E4B49AE"/>
    <w:rsid w:val="2E4C0656"/>
    <w:rsid w:val="2E610AEB"/>
    <w:rsid w:val="2E67196B"/>
    <w:rsid w:val="2F2B4D2D"/>
    <w:rsid w:val="2F51473A"/>
    <w:rsid w:val="2F7D54FB"/>
    <w:rsid w:val="2FAE3803"/>
    <w:rsid w:val="2FF90F3C"/>
    <w:rsid w:val="30182A4F"/>
    <w:rsid w:val="30492740"/>
    <w:rsid w:val="30A47CB6"/>
    <w:rsid w:val="31440F8C"/>
    <w:rsid w:val="314B55CC"/>
    <w:rsid w:val="31866088"/>
    <w:rsid w:val="318F4907"/>
    <w:rsid w:val="32477000"/>
    <w:rsid w:val="329715D0"/>
    <w:rsid w:val="32F47544"/>
    <w:rsid w:val="33282B57"/>
    <w:rsid w:val="336D28AF"/>
    <w:rsid w:val="33C237A2"/>
    <w:rsid w:val="33E76AC4"/>
    <w:rsid w:val="344D24BB"/>
    <w:rsid w:val="34527168"/>
    <w:rsid w:val="349615ED"/>
    <w:rsid w:val="350A4A05"/>
    <w:rsid w:val="35F03601"/>
    <w:rsid w:val="36251981"/>
    <w:rsid w:val="365E1127"/>
    <w:rsid w:val="36805387"/>
    <w:rsid w:val="36846BE3"/>
    <w:rsid w:val="36D42837"/>
    <w:rsid w:val="373D1702"/>
    <w:rsid w:val="37812E8C"/>
    <w:rsid w:val="37B15958"/>
    <w:rsid w:val="382E6C85"/>
    <w:rsid w:val="386C2DA8"/>
    <w:rsid w:val="387312F3"/>
    <w:rsid w:val="38996719"/>
    <w:rsid w:val="38AB0DC7"/>
    <w:rsid w:val="38F854DD"/>
    <w:rsid w:val="38FA2485"/>
    <w:rsid w:val="390174F7"/>
    <w:rsid w:val="3B121E08"/>
    <w:rsid w:val="3B217D73"/>
    <w:rsid w:val="3B537FE2"/>
    <w:rsid w:val="3B7242D8"/>
    <w:rsid w:val="3BE84956"/>
    <w:rsid w:val="3BE97308"/>
    <w:rsid w:val="3C1F4EF6"/>
    <w:rsid w:val="3CA43D56"/>
    <w:rsid w:val="3CAA6C76"/>
    <w:rsid w:val="3CD020FF"/>
    <w:rsid w:val="3CE963EE"/>
    <w:rsid w:val="3CF3290E"/>
    <w:rsid w:val="3D551F0E"/>
    <w:rsid w:val="3D5E6108"/>
    <w:rsid w:val="3D90313B"/>
    <w:rsid w:val="3E384D8C"/>
    <w:rsid w:val="3EFE7F13"/>
    <w:rsid w:val="3F803041"/>
    <w:rsid w:val="40B15340"/>
    <w:rsid w:val="40FA43C7"/>
    <w:rsid w:val="410A70F7"/>
    <w:rsid w:val="41294740"/>
    <w:rsid w:val="4136471D"/>
    <w:rsid w:val="41616B4C"/>
    <w:rsid w:val="4188720B"/>
    <w:rsid w:val="418E38E2"/>
    <w:rsid w:val="43235F4F"/>
    <w:rsid w:val="433D01B8"/>
    <w:rsid w:val="434658C0"/>
    <w:rsid w:val="439053BF"/>
    <w:rsid w:val="44256C1E"/>
    <w:rsid w:val="44524810"/>
    <w:rsid w:val="449A676A"/>
    <w:rsid w:val="44E11CA1"/>
    <w:rsid w:val="45EB6C9E"/>
    <w:rsid w:val="46310F82"/>
    <w:rsid w:val="46511915"/>
    <w:rsid w:val="46786E09"/>
    <w:rsid w:val="46797D99"/>
    <w:rsid w:val="46C30F1E"/>
    <w:rsid w:val="46CD3EE4"/>
    <w:rsid w:val="48EB1A72"/>
    <w:rsid w:val="495A3E4E"/>
    <w:rsid w:val="497B0088"/>
    <w:rsid w:val="49C270BC"/>
    <w:rsid w:val="49CD1610"/>
    <w:rsid w:val="4A1B4DE5"/>
    <w:rsid w:val="4A320146"/>
    <w:rsid w:val="4ACD2B9A"/>
    <w:rsid w:val="4BA25BD4"/>
    <w:rsid w:val="4C210756"/>
    <w:rsid w:val="4C5C46D0"/>
    <w:rsid w:val="4DF1629F"/>
    <w:rsid w:val="4DFD468B"/>
    <w:rsid w:val="4E265590"/>
    <w:rsid w:val="4E340F4C"/>
    <w:rsid w:val="4E4928AB"/>
    <w:rsid w:val="4E5D66A8"/>
    <w:rsid w:val="4E655932"/>
    <w:rsid w:val="4E712126"/>
    <w:rsid w:val="4E7C128F"/>
    <w:rsid w:val="4EB41585"/>
    <w:rsid w:val="4EBA5F34"/>
    <w:rsid w:val="4F80373E"/>
    <w:rsid w:val="4F984940"/>
    <w:rsid w:val="4FA441AD"/>
    <w:rsid w:val="4FB06EA0"/>
    <w:rsid w:val="4FDD7637"/>
    <w:rsid w:val="505517A1"/>
    <w:rsid w:val="508D0528"/>
    <w:rsid w:val="50E266C8"/>
    <w:rsid w:val="511D1FFB"/>
    <w:rsid w:val="51791B06"/>
    <w:rsid w:val="517F547E"/>
    <w:rsid w:val="52580BE7"/>
    <w:rsid w:val="52861DD8"/>
    <w:rsid w:val="52C23DE9"/>
    <w:rsid w:val="52E21EAE"/>
    <w:rsid w:val="53AF1889"/>
    <w:rsid w:val="53CF04B5"/>
    <w:rsid w:val="54185775"/>
    <w:rsid w:val="54A61BE2"/>
    <w:rsid w:val="54FB0C34"/>
    <w:rsid w:val="55141D0D"/>
    <w:rsid w:val="55235DDE"/>
    <w:rsid w:val="55363F22"/>
    <w:rsid w:val="561B53BB"/>
    <w:rsid w:val="563F3492"/>
    <w:rsid w:val="56524B60"/>
    <w:rsid w:val="565D093F"/>
    <w:rsid w:val="565F2642"/>
    <w:rsid w:val="56E24164"/>
    <w:rsid w:val="56F15A85"/>
    <w:rsid w:val="56FE7FF9"/>
    <w:rsid w:val="57003F22"/>
    <w:rsid w:val="5782760E"/>
    <w:rsid w:val="57F13E38"/>
    <w:rsid w:val="58384066"/>
    <w:rsid w:val="58FA4543"/>
    <w:rsid w:val="59235E80"/>
    <w:rsid w:val="5926108A"/>
    <w:rsid w:val="592B79EB"/>
    <w:rsid w:val="596E3C99"/>
    <w:rsid w:val="599B319B"/>
    <w:rsid w:val="59C94630"/>
    <w:rsid w:val="59E20CA4"/>
    <w:rsid w:val="5A0870BF"/>
    <w:rsid w:val="5A0C2BEE"/>
    <w:rsid w:val="5AD61054"/>
    <w:rsid w:val="5ADB44D2"/>
    <w:rsid w:val="5B627E37"/>
    <w:rsid w:val="5BC02B30"/>
    <w:rsid w:val="5C6373E6"/>
    <w:rsid w:val="5CC38BA9"/>
    <w:rsid w:val="5CD859C5"/>
    <w:rsid w:val="5E1C5D82"/>
    <w:rsid w:val="5E31376A"/>
    <w:rsid w:val="5E396789"/>
    <w:rsid w:val="5E4B7708"/>
    <w:rsid w:val="5E9F690C"/>
    <w:rsid w:val="5EAE64A1"/>
    <w:rsid w:val="5F3A2426"/>
    <w:rsid w:val="5F715665"/>
    <w:rsid w:val="5F8B324B"/>
    <w:rsid w:val="5F8B3B99"/>
    <w:rsid w:val="5F9F6B28"/>
    <w:rsid w:val="5FD94EF3"/>
    <w:rsid w:val="601F7145"/>
    <w:rsid w:val="60521B72"/>
    <w:rsid w:val="60830FDC"/>
    <w:rsid w:val="60DC56FD"/>
    <w:rsid w:val="61FF2F6F"/>
    <w:rsid w:val="62131DE4"/>
    <w:rsid w:val="6255300E"/>
    <w:rsid w:val="62834ADA"/>
    <w:rsid w:val="62BC751D"/>
    <w:rsid w:val="62D423E8"/>
    <w:rsid w:val="634549EB"/>
    <w:rsid w:val="63571959"/>
    <w:rsid w:val="636E267D"/>
    <w:rsid w:val="63866C92"/>
    <w:rsid w:val="63BD7971"/>
    <w:rsid w:val="64B4455A"/>
    <w:rsid w:val="650E6742"/>
    <w:rsid w:val="659063C1"/>
    <w:rsid w:val="65986C95"/>
    <w:rsid w:val="66751579"/>
    <w:rsid w:val="67222077"/>
    <w:rsid w:val="675734D7"/>
    <w:rsid w:val="676169F1"/>
    <w:rsid w:val="67EC304F"/>
    <w:rsid w:val="67F72E6A"/>
    <w:rsid w:val="68BF034E"/>
    <w:rsid w:val="68C15E0C"/>
    <w:rsid w:val="696617FA"/>
    <w:rsid w:val="69A2641E"/>
    <w:rsid w:val="69AA4D90"/>
    <w:rsid w:val="69AC74A0"/>
    <w:rsid w:val="6A7D3DD9"/>
    <w:rsid w:val="6AA23F8D"/>
    <w:rsid w:val="6AB81B6B"/>
    <w:rsid w:val="6ABD34A9"/>
    <w:rsid w:val="6ADF5698"/>
    <w:rsid w:val="6B8D68A2"/>
    <w:rsid w:val="6C0B7A41"/>
    <w:rsid w:val="6D8447E5"/>
    <w:rsid w:val="6DBB012F"/>
    <w:rsid w:val="6DE30D6C"/>
    <w:rsid w:val="6E3B7B7B"/>
    <w:rsid w:val="6E591FDD"/>
    <w:rsid w:val="6F18403C"/>
    <w:rsid w:val="6FA271AD"/>
    <w:rsid w:val="6FA5633D"/>
    <w:rsid w:val="6FBB4CA3"/>
    <w:rsid w:val="6FF518B1"/>
    <w:rsid w:val="700001B4"/>
    <w:rsid w:val="70191E35"/>
    <w:rsid w:val="704D3CAE"/>
    <w:rsid w:val="706F2899"/>
    <w:rsid w:val="70EB3348"/>
    <w:rsid w:val="710A3F0D"/>
    <w:rsid w:val="71326BD7"/>
    <w:rsid w:val="713D3FA8"/>
    <w:rsid w:val="714C50E6"/>
    <w:rsid w:val="71742DF2"/>
    <w:rsid w:val="71F37C18"/>
    <w:rsid w:val="723C71DD"/>
    <w:rsid w:val="7240245D"/>
    <w:rsid w:val="724B54C8"/>
    <w:rsid w:val="72D8588A"/>
    <w:rsid w:val="735B669E"/>
    <w:rsid w:val="73CE04B9"/>
    <w:rsid w:val="73F573AA"/>
    <w:rsid w:val="74914886"/>
    <w:rsid w:val="757266FA"/>
    <w:rsid w:val="75CB345E"/>
    <w:rsid w:val="768C349A"/>
    <w:rsid w:val="76A56583"/>
    <w:rsid w:val="76A62F59"/>
    <w:rsid w:val="76FF5C9A"/>
    <w:rsid w:val="77135145"/>
    <w:rsid w:val="773A3765"/>
    <w:rsid w:val="78062362"/>
    <w:rsid w:val="780B6549"/>
    <w:rsid w:val="78172A0B"/>
    <w:rsid w:val="78675B4B"/>
    <w:rsid w:val="78CE4383"/>
    <w:rsid w:val="799E52A4"/>
    <w:rsid w:val="79FCFA40"/>
    <w:rsid w:val="7A2877D3"/>
    <w:rsid w:val="7A5A25AD"/>
    <w:rsid w:val="7AB83B51"/>
    <w:rsid w:val="7ACA3E00"/>
    <w:rsid w:val="7AD006E5"/>
    <w:rsid w:val="7B983FC0"/>
    <w:rsid w:val="7BCE793E"/>
    <w:rsid w:val="7BDE7EB2"/>
    <w:rsid w:val="7BEB7061"/>
    <w:rsid w:val="7CC1007F"/>
    <w:rsid w:val="7CF24C2C"/>
    <w:rsid w:val="7DAF08B4"/>
    <w:rsid w:val="7E221CC8"/>
    <w:rsid w:val="7E2B4203"/>
    <w:rsid w:val="7E6B29F6"/>
    <w:rsid w:val="7EE6028B"/>
    <w:rsid w:val="7F8A3184"/>
    <w:rsid w:val="7FC14EB2"/>
    <w:rsid w:val="7FCF71C0"/>
    <w:rsid w:val="7FDB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38544B"/>
  <w15:docId w15:val="{E667FD29-0198-8949-8A13-0D2AABBE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line="480" w:lineRule="exact"/>
      <w:jc w:val="center"/>
      <w:outlineLvl w:val="0"/>
    </w:pPr>
    <w:rPr>
      <w:rFonts w:ascii="黑体" w:eastAsia="黑体"/>
      <w:bCs/>
      <w:sz w:val="44"/>
      <w:szCs w:val="44"/>
    </w:rPr>
  </w:style>
  <w:style w:type="paragraph" w:styleId="3">
    <w:name w:val="heading 3"/>
    <w:basedOn w:val="TOC2"/>
    <w:next w:val="a"/>
    <w:link w:val="30"/>
    <w:qFormat/>
    <w:pPr>
      <w:ind w:leftChars="0" w:left="0" w:firstLineChars="200" w:firstLine="600"/>
      <w:jc w:val="left"/>
      <w:outlineLvl w:val="2"/>
    </w:pPr>
    <w:rPr>
      <w:rFonts w:ascii="黑体" w:eastAsia="黑体" w:hAnsi="黑体"/>
      <w:smallCap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unhideWhenUsed/>
    <w:qFormat/>
    <w:pPr>
      <w:ind w:leftChars="200" w:left="420"/>
    </w:pPr>
  </w:style>
  <w:style w:type="paragraph" w:styleId="a3">
    <w:name w:val="annotation text"/>
    <w:basedOn w:val="a"/>
    <w:semiHidden/>
    <w:qFormat/>
    <w:pPr>
      <w:jc w:val="left"/>
    </w:pPr>
  </w:style>
  <w:style w:type="paragraph" w:styleId="a4">
    <w:name w:val="Body Text"/>
    <w:basedOn w:val="a"/>
    <w:link w:val="a5"/>
    <w:uiPriority w:val="99"/>
    <w:unhideWhenUsed/>
    <w:qFormat/>
    <w:pPr>
      <w:spacing w:after="120"/>
    </w:pPr>
  </w:style>
  <w:style w:type="paragraph" w:styleId="2">
    <w:name w:val="Body Text Indent 2"/>
    <w:basedOn w:val="a"/>
    <w:qFormat/>
    <w:pPr>
      <w:spacing w:line="480" w:lineRule="exact"/>
      <w:ind w:firstLineChars="200" w:firstLine="560"/>
    </w:pPr>
    <w:rPr>
      <w:rFonts w:ascii="仿宋_GB2312" w:eastAsia="仿宋_GB2312"/>
      <w:sz w:val="28"/>
    </w:rPr>
  </w:style>
  <w:style w:type="paragraph" w:styleId="a6">
    <w:name w:val="Balloon Text"/>
    <w:basedOn w:val="a"/>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pPr>
      <w:spacing w:after="120"/>
      <w:ind w:leftChars="200" w:left="420"/>
    </w:pPr>
    <w:rPr>
      <w:sz w:val="16"/>
      <w:szCs w:val="16"/>
    </w:rPr>
  </w:style>
  <w:style w:type="paragraph" w:styleId="ab">
    <w:name w:val="Title"/>
    <w:basedOn w:val="a4"/>
    <w:next w:val="a"/>
    <w:link w:val="ac"/>
    <w:qFormat/>
    <w:pPr>
      <w:jc w:val="center"/>
    </w:pPr>
    <w:rPr>
      <w:rFonts w:ascii="仿宋_GB2312" w:eastAsia="仿宋_GB2312" w:hAnsi="仿宋"/>
    </w:rPr>
  </w:style>
  <w:style w:type="paragraph" w:styleId="ad">
    <w:name w:val="annotation subject"/>
    <w:basedOn w:val="a3"/>
    <w:next w:val="a3"/>
    <w:semiHidden/>
    <w:qFormat/>
    <w:rPr>
      <w:b/>
      <w:bCs/>
    </w:rPr>
  </w:style>
  <w:style w:type="character" w:styleId="ae">
    <w:name w:val="page number"/>
    <w:qFormat/>
  </w:style>
  <w:style w:type="character" w:styleId="af">
    <w:name w:val="annotation reference"/>
    <w:semiHidden/>
    <w:qFormat/>
    <w:rPr>
      <w:sz w:val="21"/>
      <w:szCs w:val="21"/>
    </w:rPr>
  </w:style>
  <w:style w:type="character" w:customStyle="1" w:styleId="10">
    <w:name w:val="标题 1 字符"/>
    <w:link w:val="1"/>
    <w:uiPriority w:val="9"/>
    <w:qFormat/>
    <w:rPr>
      <w:rFonts w:ascii="黑体" w:eastAsia="黑体"/>
      <w:bCs/>
      <w:kern w:val="2"/>
      <w:sz w:val="44"/>
      <w:szCs w:val="44"/>
    </w:rPr>
  </w:style>
  <w:style w:type="character" w:customStyle="1" w:styleId="30">
    <w:name w:val="标题 3 字符"/>
    <w:link w:val="3"/>
    <w:qFormat/>
    <w:rPr>
      <w:rFonts w:ascii="黑体" w:eastAsia="黑体" w:hAnsi="黑体"/>
      <w:smallCaps/>
      <w:kern w:val="2"/>
      <w:sz w:val="30"/>
      <w:szCs w:val="30"/>
    </w:rPr>
  </w:style>
  <w:style w:type="character" w:customStyle="1" w:styleId="a5">
    <w:name w:val="正文文本 字符"/>
    <w:link w:val="a4"/>
    <w:uiPriority w:val="99"/>
    <w:semiHidden/>
    <w:qFormat/>
    <w:rPr>
      <w:kern w:val="2"/>
      <w:sz w:val="21"/>
      <w:szCs w:val="24"/>
    </w:rPr>
  </w:style>
  <w:style w:type="character" w:customStyle="1" w:styleId="aa">
    <w:name w:val="页眉 字符"/>
    <w:link w:val="a9"/>
    <w:uiPriority w:val="99"/>
    <w:qFormat/>
    <w:rPr>
      <w:kern w:val="2"/>
      <w:sz w:val="18"/>
      <w:szCs w:val="18"/>
    </w:rPr>
  </w:style>
  <w:style w:type="character" w:customStyle="1" w:styleId="ac">
    <w:name w:val="标题 字符"/>
    <w:link w:val="ab"/>
    <w:qFormat/>
    <w:rPr>
      <w:rFonts w:ascii="仿宋_GB2312" w:eastAsia="仿宋_GB2312" w:hAnsi="仿宋"/>
      <w:kern w:val="2"/>
      <w:sz w:val="21"/>
      <w:szCs w:val="24"/>
    </w:rPr>
  </w:style>
  <w:style w:type="character" w:customStyle="1" w:styleId="longtext">
    <w:name w:val="long_text"/>
    <w:qFormat/>
  </w:style>
  <w:style w:type="character" w:customStyle="1" w:styleId="a8">
    <w:name w:val="页脚 字符"/>
    <w:basedOn w:val="a0"/>
    <w:link w:val="a7"/>
    <w:uiPriority w:val="99"/>
    <w:qFormat/>
    <w:rPr>
      <w:kern w:val="2"/>
      <w:sz w:val="18"/>
      <w:szCs w:val="18"/>
    </w:rPr>
  </w:style>
  <w:style w:type="paragraph" w:customStyle="1" w:styleId="11">
    <w:name w:val="修订1"/>
    <w:hidden/>
    <w:uiPriority w:val="99"/>
    <w:unhideWhenUsed/>
    <w:qFormat/>
    <w:rPr>
      <w:kern w:val="2"/>
      <w:sz w:val="21"/>
      <w:szCs w:val="24"/>
    </w:rPr>
  </w:style>
  <w:style w:type="paragraph" w:customStyle="1" w:styleId="20">
    <w:name w:val="修订2"/>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626</Words>
  <Characters>3569</Characters>
  <Application>Microsoft Office Word</Application>
  <DocSecurity>0</DocSecurity>
  <Lines>29</Lines>
  <Paragraphs>8</Paragraphs>
  <ScaleCrop>false</ScaleCrop>
  <Company>boc</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第四章 信用风险资本计量</dc:title>
  <dc:creator>项目管理/新协议办/风险管理总部/总行/BOC</dc:creator>
  <cp:lastModifiedBy>梁爽</cp:lastModifiedBy>
  <cp:revision>43</cp:revision>
  <dcterms:created xsi:type="dcterms:W3CDTF">2023-02-18T23:14:00Z</dcterms:created>
  <dcterms:modified xsi:type="dcterms:W3CDTF">2023-10-31T11:14:00Z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22088F29CC8F43EB94CB5168A95BFC63</vt:lpwstr>
  </property>
</Properties>
</file>